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03D9" w:rsidRPr="003757DA" w:rsidRDefault="003B03D9" w:rsidP="003B03D9">
      <w:pPr>
        <w:rPr>
          <w:rFonts w:ascii="Bookman Old Style" w:eastAsia="Bookman Old Style" w:hAnsi="Bookman Old Style" w:cs="Bookman Old Style"/>
          <w:color w:val="000000"/>
          <w:sz w:val="24"/>
          <w:szCs w:val="24"/>
        </w:rPr>
      </w:pPr>
      <w:r w:rsidRPr="003757DA">
        <w:rPr>
          <w:rFonts w:ascii="Bookman Old Style" w:eastAsia="Bookman Old Style" w:hAnsi="Bookman Old Style" w:cs="Bookman Old Style"/>
          <w:color w:val="000000"/>
          <w:sz w:val="24"/>
          <w:szCs w:val="24"/>
        </w:rPr>
        <w:t xml:space="preserve">Bogotá D.C., </w:t>
      </w:r>
      <w:r w:rsidR="00895D79">
        <w:rPr>
          <w:rFonts w:ascii="Bookman Old Style" w:eastAsia="Bookman Old Style" w:hAnsi="Bookman Old Style" w:cs="Bookman Old Style"/>
          <w:color w:val="000000"/>
          <w:sz w:val="24"/>
          <w:szCs w:val="24"/>
        </w:rPr>
        <w:t>marzo de 2024</w:t>
      </w:r>
    </w:p>
    <w:p w:rsidR="003B03D9" w:rsidRDefault="003B03D9" w:rsidP="003B03D9">
      <w:pPr>
        <w:widowControl/>
        <w:pBdr>
          <w:top w:val="nil"/>
          <w:left w:val="nil"/>
          <w:bottom w:val="nil"/>
          <w:right w:val="nil"/>
          <w:between w:val="nil"/>
        </w:pBdr>
        <w:spacing w:line="276" w:lineRule="auto"/>
        <w:ind w:right="-93"/>
        <w:jc w:val="both"/>
        <w:rPr>
          <w:rFonts w:ascii="Bookman Old Style" w:eastAsia="Bookman Old Style" w:hAnsi="Bookman Old Style" w:cs="Bookman Old Style"/>
          <w:color w:val="000000"/>
          <w:sz w:val="24"/>
          <w:szCs w:val="24"/>
        </w:rPr>
      </w:pPr>
    </w:p>
    <w:p w:rsidR="003B03D9" w:rsidRPr="003757DA" w:rsidRDefault="003B03D9" w:rsidP="003B03D9">
      <w:pPr>
        <w:widowControl/>
        <w:pBdr>
          <w:top w:val="nil"/>
          <w:left w:val="nil"/>
          <w:bottom w:val="nil"/>
          <w:right w:val="nil"/>
          <w:between w:val="nil"/>
        </w:pBdr>
        <w:spacing w:line="276" w:lineRule="auto"/>
        <w:ind w:right="-93"/>
        <w:jc w:val="both"/>
        <w:rPr>
          <w:rFonts w:ascii="Bookman Old Style" w:eastAsia="Bookman Old Style" w:hAnsi="Bookman Old Style" w:cs="Bookman Old Style"/>
          <w:color w:val="000000"/>
          <w:sz w:val="24"/>
          <w:szCs w:val="24"/>
        </w:rPr>
      </w:pPr>
    </w:p>
    <w:p w:rsidR="003B03D9" w:rsidRPr="00CF0AE0" w:rsidRDefault="003B03D9" w:rsidP="003B03D9">
      <w:pPr>
        <w:pStyle w:val="Sinespaciado"/>
        <w:rPr>
          <w:rFonts w:ascii="Bookman Old Style" w:eastAsia="Bookman Old Style" w:hAnsi="Bookman Old Style"/>
          <w:sz w:val="24"/>
          <w:szCs w:val="24"/>
        </w:rPr>
      </w:pPr>
      <w:r w:rsidRPr="00CF0AE0">
        <w:rPr>
          <w:rFonts w:ascii="Bookman Old Style" w:eastAsia="Bookman Old Style" w:hAnsi="Bookman Old Style"/>
          <w:sz w:val="24"/>
          <w:szCs w:val="24"/>
        </w:rPr>
        <w:t>Honorable Representante</w:t>
      </w:r>
    </w:p>
    <w:p w:rsidR="003B03D9" w:rsidRPr="00CF0AE0" w:rsidRDefault="003B03D9" w:rsidP="003B03D9">
      <w:pPr>
        <w:pStyle w:val="Sinespaciado"/>
        <w:rPr>
          <w:rFonts w:ascii="Bookman Old Style" w:eastAsia="Bookman Old Style" w:hAnsi="Bookman Old Style"/>
          <w:b/>
          <w:sz w:val="24"/>
          <w:szCs w:val="24"/>
        </w:rPr>
      </w:pPr>
      <w:r w:rsidRPr="00CF0AE0">
        <w:rPr>
          <w:rFonts w:ascii="Bookman Old Style" w:eastAsia="Bookman Old Style" w:hAnsi="Bookman Old Style"/>
          <w:b/>
          <w:sz w:val="24"/>
          <w:szCs w:val="24"/>
        </w:rPr>
        <w:t>ÓSCAR HERNÁN SÁNCHEZ</w:t>
      </w:r>
    </w:p>
    <w:p w:rsidR="003B03D9" w:rsidRPr="00CF0AE0" w:rsidRDefault="003B03D9" w:rsidP="003B03D9">
      <w:pPr>
        <w:pStyle w:val="Sinespaciado"/>
        <w:rPr>
          <w:rFonts w:ascii="Bookman Old Style" w:eastAsia="Bookman Old Style" w:hAnsi="Bookman Old Style"/>
          <w:sz w:val="24"/>
          <w:szCs w:val="24"/>
        </w:rPr>
      </w:pPr>
      <w:r>
        <w:rPr>
          <w:rFonts w:ascii="Bookman Old Style" w:eastAsia="Bookman Old Style" w:hAnsi="Bookman Old Style"/>
          <w:sz w:val="24"/>
          <w:szCs w:val="24"/>
        </w:rPr>
        <w:t>Presidente</w:t>
      </w:r>
      <w:r w:rsidR="00895D79">
        <w:rPr>
          <w:rFonts w:ascii="Bookman Old Style" w:eastAsia="Bookman Old Style" w:hAnsi="Bookman Old Style"/>
          <w:sz w:val="24"/>
          <w:szCs w:val="24"/>
        </w:rPr>
        <w:t xml:space="preserve"> </w:t>
      </w:r>
      <w:r w:rsidRPr="00CF0AE0">
        <w:rPr>
          <w:rFonts w:ascii="Bookman Old Style" w:eastAsia="Bookman Old Style" w:hAnsi="Bookman Old Style"/>
          <w:sz w:val="24"/>
          <w:szCs w:val="24"/>
        </w:rPr>
        <w:t>Comisión Primera Constitucional Permanente</w:t>
      </w:r>
    </w:p>
    <w:p w:rsidR="003B03D9" w:rsidRPr="00CF0AE0" w:rsidRDefault="003B03D9" w:rsidP="003B03D9">
      <w:pPr>
        <w:pStyle w:val="Sinespaciado"/>
        <w:rPr>
          <w:rFonts w:ascii="Bookman Old Style" w:eastAsia="Bookman Old Style" w:hAnsi="Bookman Old Style"/>
          <w:sz w:val="24"/>
          <w:szCs w:val="24"/>
        </w:rPr>
      </w:pPr>
      <w:r w:rsidRPr="00CF0AE0">
        <w:rPr>
          <w:rFonts w:ascii="Bookman Old Style" w:eastAsia="Bookman Old Style" w:hAnsi="Bookman Old Style"/>
          <w:sz w:val="24"/>
          <w:szCs w:val="24"/>
        </w:rPr>
        <w:t>Cámara de Representantes</w:t>
      </w:r>
    </w:p>
    <w:p w:rsidR="003B03D9" w:rsidRPr="00CF0AE0" w:rsidRDefault="003B03D9" w:rsidP="003B03D9">
      <w:pPr>
        <w:pStyle w:val="Sinespaciado"/>
        <w:rPr>
          <w:rFonts w:ascii="Bookman Old Style" w:eastAsia="Bookman Old Style" w:hAnsi="Bookman Old Style"/>
          <w:sz w:val="24"/>
          <w:szCs w:val="24"/>
        </w:rPr>
      </w:pPr>
      <w:r w:rsidRPr="00CF0AE0">
        <w:rPr>
          <w:rFonts w:ascii="Bookman Old Style" w:eastAsia="Bookman Old Style" w:hAnsi="Bookman Old Style"/>
          <w:sz w:val="24"/>
          <w:szCs w:val="24"/>
        </w:rPr>
        <w:t>Ciudad</w:t>
      </w:r>
    </w:p>
    <w:p w:rsidR="003B03D9" w:rsidRDefault="003B03D9" w:rsidP="003B03D9">
      <w:pPr>
        <w:spacing w:line="276" w:lineRule="auto"/>
        <w:jc w:val="both"/>
        <w:rPr>
          <w:rFonts w:ascii="Bookman Old Style" w:eastAsia="Bookman Old Style" w:hAnsi="Bookman Old Style" w:cs="Bookman Old Style"/>
          <w:sz w:val="24"/>
          <w:szCs w:val="24"/>
        </w:rPr>
      </w:pPr>
    </w:p>
    <w:p w:rsidR="003B03D9" w:rsidRPr="003757DA" w:rsidRDefault="003B03D9" w:rsidP="003B03D9">
      <w:pPr>
        <w:spacing w:line="276" w:lineRule="auto"/>
        <w:jc w:val="both"/>
        <w:rPr>
          <w:rFonts w:ascii="Bookman Old Style" w:eastAsia="Bookman Old Style" w:hAnsi="Bookman Old Style" w:cs="Bookman Old Style"/>
          <w:sz w:val="24"/>
          <w:szCs w:val="24"/>
        </w:rPr>
      </w:pPr>
    </w:p>
    <w:p w:rsidR="003B03D9" w:rsidRPr="00657C7D" w:rsidRDefault="003B03D9" w:rsidP="003B03D9">
      <w:pPr>
        <w:ind w:left="1416"/>
        <w:jc w:val="both"/>
        <w:rPr>
          <w:rFonts w:ascii="Bookman Old Style" w:eastAsia="Bookman Old Style" w:hAnsi="Bookman Old Style" w:cs="Bookman Old Style"/>
          <w:i/>
          <w:color w:val="000000"/>
          <w:sz w:val="24"/>
          <w:szCs w:val="24"/>
        </w:rPr>
      </w:pPr>
      <w:r w:rsidRPr="003757DA">
        <w:rPr>
          <w:rFonts w:ascii="Bookman Old Style" w:eastAsia="Bookman Old Style" w:hAnsi="Bookman Old Style" w:cs="Bookman Old Style"/>
          <w:b/>
          <w:color w:val="000000"/>
          <w:sz w:val="24"/>
          <w:szCs w:val="24"/>
        </w:rPr>
        <w:t>REF:</w:t>
      </w:r>
      <w:r w:rsidRPr="003757DA">
        <w:rPr>
          <w:rFonts w:ascii="Bookman Old Style" w:eastAsia="Bookman Old Style" w:hAnsi="Bookman Old Style" w:cs="Bookman Old Style"/>
          <w:color w:val="000000"/>
          <w:sz w:val="24"/>
          <w:szCs w:val="24"/>
        </w:rPr>
        <w:t xml:space="preserve"> Informe de ponencia para primer debate del Proyecto de Ley No. </w:t>
      </w:r>
      <w:r w:rsidR="00895D79">
        <w:rPr>
          <w:rFonts w:ascii="Bookman Old Style" w:eastAsia="Bookman Old Style" w:hAnsi="Bookman Old Style" w:cs="Bookman Old Style"/>
          <w:color w:val="000000"/>
          <w:sz w:val="24"/>
          <w:szCs w:val="24"/>
        </w:rPr>
        <w:t>182</w:t>
      </w:r>
      <w:r>
        <w:rPr>
          <w:rFonts w:ascii="Bookman Old Style" w:eastAsia="Bookman Old Style" w:hAnsi="Bookman Old Style" w:cs="Bookman Old Style"/>
          <w:color w:val="000000"/>
          <w:sz w:val="24"/>
          <w:szCs w:val="24"/>
        </w:rPr>
        <w:t xml:space="preserve"> de 2023</w:t>
      </w:r>
      <w:r w:rsidRPr="003757DA">
        <w:rPr>
          <w:rFonts w:ascii="Bookman Old Style" w:eastAsia="Bookman Old Style" w:hAnsi="Bookman Old Style" w:cs="Bookman Old Style"/>
          <w:color w:val="000000"/>
          <w:sz w:val="24"/>
          <w:szCs w:val="24"/>
        </w:rPr>
        <w:t xml:space="preserve"> Cámara </w:t>
      </w:r>
      <w:r w:rsidR="00895D79" w:rsidRPr="00895D79">
        <w:rPr>
          <w:rFonts w:ascii="Bookman Old Style" w:eastAsia="Bookman Old Style" w:hAnsi="Bookman Old Style" w:cs="Bookman Old Style"/>
          <w:b/>
          <w:i/>
          <w:color w:val="000000"/>
          <w:sz w:val="24"/>
          <w:szCs w:val="24"/>
        </w:rPr>
        <w:t>“Por medio de la cual se modifica la edad del consentimiento sexual para menores de edad, se protege la libertad sexual de niños, niñas y adolescentes en Colombia</w:t>
      </w:r>
      <w:r w:rsidR="00895D79">
        <w:rPr>
          <w:rFonts w:ascii="Bookman Old Style" w:eastAsia="Bookman Old Style" w:hAnsi="Bookman Old Style" w:cs="Bookman Old Style"/>
          <w:b/>
          <w:i/>
          <w:color w:val="000000"/>
          <w:sz w:val="24"/>
          <w:szCs w:val="24"/>
        </w:rPr>
        <w:t xml:space="preserve"> </w:t>
      </w:r>
      <w:r w:rsidR="00895D79" w:rsidRPr="00895D79">
        <w:rPr>
          <w:rFonts w:ascii="Bookman Old Style" w:eastAsia="Bookman Old Style" w:hAnsi="Bookman Old Style" w:cs="Bookman Old Style"/>
          <w:b/>
          <w:i/>
          <w:color w:val="000000"/>
          <w:sz w:val="24"/>
          <w:szCs w:val="24"/>
        </w:rPr>
        <w:t>y se dictan otras disposiciones”</w:t>
      </w:r>
      <w:r w:rsidR="00895D79">
        <w:rPr>
          <w:rFonts w:ascii="Bookman Old Style" w:eastAsia="Bookman Old Style" w:hAnsi="Bookman Old Style" w:cs="Bookman Old Style"/>
          <w:b/>
          <w:i/>
          <w:color w:val="000000"/>
          <w:sz w:val="24"/>
          <w:szCs w:val="24"/>
        </w:rPr>
        <w:t>.</w:t>
      </w:r>
    </w:p>
    <w:p w:rsidR="003B03D9" w:rsidRPr="003757DA" w:rsidRDefault="003B03D9" w:rsidP="003B03D9">
      <w:pPr>
        <w:ind w:left="1416"/>
        <w:jc w:val="both"/>
        <w:rPr>
          <w:rFonts w:ascii="Bookman Old Style" w:eastAsia="Bookman Old Style" w:hAnsi="Bookman Old Style" w:cs="Bookman Old Style"/>
          <w:color w:val="000000"/>
          <w:sz w:val="24"/>
          <w:szCs w:val="24"/>
        </w:rPr>
      </w:pPr>
    </w:p>
    <w:p w:rsidR="003B03D9" w:rsidRDefault="003B03D9" w:rsidP="003B03D9">
      <w:pPr>
        <w:jc w:val="both"/>
        <w:rPr>
          <w:rFonts w:ascii="Bookman Old Style" w:eastAsia="Bookman Old Style" w:hAnsi="Bookman Old Style" w:cs="Bookman Old Style"/>
          <w:color w:val="000000"/>
          <w:sz w:val="24"/>
          <w:szCs w:val="24"/>
        </w:rPr>
      </w:pPr>
    </w:p>
    <w:p w:rsidR="003B03D9" w:rsidRPr="003757DA" w:rsidRDefault="003B03D9" w:rsidP="003B03D9">
      <w:pPr>
        <w:jc w:val="both"/>
        <w:rPr>
          <w:rFonts w:ascii="Bookman Old Style" w:eastAsia="Bookman Old Style" w:hAnsi="Bookman Old Style" w:cs="Bookman Old Style"/>
          <w:color w:val="000000"/>
          <w:sz w:val="24"/>
          <w:szCs w:val="24"/>
        </w:rPr>
      </w:pPr>
      <w:r w:rsidRPr="003757DA">
        <w:rPr>
          <w:rFonts w:ascii="Bookman Old Style" w:eastAsia="Bookman Old Style" w:hAnsi="Bookman Old Style" w:cs="Bookman Old Style"/>
          <w:color w:val="000000"/>
          <w:sz w:val="24"/>
          <w:szCs w:val="24"/>
        </w:rPr>
        <w:t xml:space="preserve">Respetado Presidente: </w:t>
      </w:r>
    </w:p>
    <w:p w:rsidR="003B03D9" w:rsidRPr="003757DA" w:rsidRDefault="003B03D9" w:rsidP="003B03D9">
      <w:pPr>
        <w:jc w:val="both"/>
        <w:rPr>
          <w:rFonts w:ascii="Bookman Old Style" w:eastAsia="Bookman Old Style" w:hAnsi="Bookman Old Style" w:cs="Bookman Old Style"/>
          <w:color w:val="000000"/>
          <w:sz w:val="24"/>
          <w:szCs w:val="24"/>
        </w:rPr>
      </w:pPr>
    </w:p>
    <w:p w:rsidR="003B03D9" w:rsidRPr="003757DA" w:rsidRDefault="003B03D9" w:rsidP="003B03D9">
      <w:pPr>
        <w:jc w:val="both"/>
        <w:rPr>
          <w:rFonts w:ascii="Bookman Old Style" w:eastAsia="Bookman Old Style" w:hAnsi="Bookman Old Style" w:cs="Bookman Old Style"/>
          <w:color w:val="000000"/>
          <w:sz w:val="24"/>
          <w:szCs w:val="24"/>
        </w:rPr>
      </w:pPr>
      <w:r w:rsidRPr="003757DA">
        <w:rPr>
          <w:rFonts w:ascii="Bookman Old Style" w:eastAsia="Bookman Old Style" w:hAnsi="Bookman Old Style" w:cs="Bookman Old Style"/>
          <w:color w:val="000000"/>
          <w:sz w:val="24"/>
          <w:szCs w:val="24"/>
        </w:rPr>
        <w:t xml:space="preserve">En cumplimiento de la designación que la Mesa Directiva de la Comisión Primera del Cámara de la República </w:t>
      </w:r>
      <w:r w:rsidR="00895D79">
        <w:rPr>
          <w:rFonts w:ascii="Bookman Old Style" w:eastAsia="Bookman Old Style" w:hAnsi="Bookman Old Style" w:cs="Bookman Old Style"/>
          <w:color w:val="000000"/>
          <w:sz w:val="24"/>
          <w:szCs w:val="24"/>
        </w:rPr>
        <w:t>me</w:t>
      </w:r>
      <w:r w:rsidRPr="003757DA">
        <w:rPr>
          <w:rFonts w:ascii="Bookman Old Style" w:eastAsia="Bookman Old Style" w:hAnsi="Bookman Old Style" w:cs="Bookman Old Style"/>
          <w:color w:val="000000"/>
          <w:sz w:val="24"/>
          <w:szCs w:val="24"/>
        </w:rPr>
        <w:t xml:space="preserve"> hiciera y, de conformidad con los artículos 150, 153 y 156 de la Ley 5 de 1992, de la manera más atenta y dentro del término establecido para tal efecto, </w:t>
      </w:r>
      <w:r>
        <w:rPr>
          <w:rFonts w:ascii="Bookman Old Style" w:eastAsia="Bookman Old Style" w:hAnsi="Bookman Old Style" w:cs="Bookman Old Style"/>
          <w:color w:val="000000"/>
          <w:sz w:val="24"/>
          <w:szCs w:val="24"/>
        </w:rPr>
        <w:t>presento el i</w:t>
      </w:r>
      <w:r w:rsidRPr="003757DA">
        <w:rPr>
          <w:rFonts w:ascii="Bookman Old Style" w:eastAsia="Bookman Old Style" w:hAnsi="Bookman Old Style" w:cs="Bookman Old Style"/>
          <w:color w:val="000000"/>
          <w:sz w:val="24"/>
          <w:szCs w:val="24"/>
        </w:rPr>
        <w:t xml:space="preserve">nforme de </w:t>
      </w:r>
      <w:r w:rsidRPr="003757DA">
        <w:rPr>
          <w:rFonts w:ascii="Bookman Old Style" w:eastAsia="Bookman Old Style" w:hAnsi="Bookman Old Style" w:cs="Bookman Old Style"/>
          <w:b/>
          <w:color w:val="000000"/>
          <w:sz w:val="24"/>
          <w:szCs w:val="24"/>
        </w:rPr>
        <w:t>PONENCIA POSITIVA</w:t>
      </w:r>
      <w:r w:rsidRPr="003757DA">
        <w:rPr>
          <w:rFonts w:ascii="Bookman Old Style" w:eastAsia="Bookman Old Style" w:hAnsi="Bookman Old Style" w:cs="Bookman Old Style"/>
          <w:color w:val="000000"/>
          <w:sz w:val="24"/>
          <w:szCs w:val="24"/>
        </w:rPr>
        <w:t xml:space="preserve"> para primer debate del Proyecto de Ley No. </w:t>
      </w:r>
      <w:r w:rsidR="002018DC">
        <w:rPr>
          <w:rFonts w:ascii="Bookman Old Style" w:eastAsia="Bookman Old Style" w:hAnsi="Bookman Old Style" w:cs="Bookman Old Style"/>
          <w:color w:val="000000"/>
          <w:sz w:val="24"/>
          <w:szCs w:val="24"/>
        </w:rPr>
        <w:t>182</w:t>
      </w:r>
      <w:r>
        <w:rPr>
          <w:rFonts w:ascii="Bookman Old Style" w:eastAsia="Bookman Old Style" w:hAnsi="Bookman Old Style" w:cs="Bookman Old Style"/>
          <w:color w:val="000000"/>
          <w:sz w:val="24"/>
          <w:szCs w:val="24"/>
        </w:rPr>
        <w:t xml:space="preserve"> de 2023</w:t>
      </w:r>
      <w:r w:rsidRPr="003757DA">
        <w:rPr>
          <w:rFonts w:ascii="Bookman Old Style" w:eastAsia="Bookman Old Style" w:hAnsi="Bookman Old Style" w:cs="Bookman Old Style"/>
          <w:color w:val="000000"/>
          <w:sz w:val="24"/>
          <w:szCs w:val="24"/>
        </w:rPr>
        <w:t xml:space="preserve"> Cámara </w:t>
      </w:r>
      <w:r w:rsidR="00895D79" w:rsidRPr="00895D79">
        <w:rPr>
          <w:rFonts w:ascii="Bookman Old Style" w:eastAsia="Bookman Old Style" w:hAnsi="Bookman Old Style" w:cs="Bookman Old Style"/>
          <w:i/>
          <w:color w:val="000000"/>
          <w:sz w:val="24"/>
          <w:szCs w:val="24"/>
        </w:rPr>
        <w:t>“Por medio de la cual se modifica la edad del consentimiento sexual para menores de edad, se protege la libertad sexual de niños, niñas y adolescentes en Colombia y se dictan otras disposiciones”</w:t>
      </w:r>
      <w:r w:rsidRPr="00657C7D">
        <w:rPr>
          <w:rFonts w:ascii="Bookman Old Style" w:eastAsia="Bookman Old Style" w:hAnsi="Bookman Old Style" w:cs="Bookman Old Style"/>
          <w:color w:val="000000"/>
          <w:sz w:val="24"/>
          <w:szCs w:val="24"/>
        </w:rPr>
        <w:t xml:space="preserve">, </w:t>
      </w:r>
      <w:r w:rsidRPr="003757DA">
        <w:rPr>
          <w:rFonts w:ascii="Bookman Old Style" w:eastAsia="Bookman Old Style" w:hAnsi="Bookman Old Style" w:cs="Bookman Old Style"/>
          <w:color w:val="000000"/>
          <w:sz w:val="24"/>
          <w:szCs w:val="24"/>
        </w:rPr>
        <w:t xml:space="preserve">en los siguientes términos:  </w:t>
      </w:r>
    </w:p>
    <w:p w:rsidR="003B03D9" w:rsidRPr="003757DA" w:rsidRDefault="003B03D9" w:rsidP="003B03D9">
      <w:pPr>
        <w:jc w:val="both"/>
        <w:rPr>
          <w:rFonts w:ascii="Bookman Old Style" w:eastAsia="Bookman Old Style" w:hAnsi="Bookman Old Style" w:cs="Bookman Old Style"/>
          <w:i/>
          <w:color w:val="000000"/>
          <w:sz w:val="24"/>
          <w:szCs w:val="24"/>
        </w:rPr>
      </w:pPr>
    </w:p>
    <w:p w:rsidR="003B03D9" w:rsidRPr="003757DA" w:rsidRDefault="003B03D9" w:rsidP="003B03D9">
      <w:pPr>
        <w:widowControl/>
        <w:numPr>
          <w:ilvl w:val="0"/>
          <w:numId w:val="3"/>
        </w:numPr>
        <w:pBdr>
          <w:top w:val="nil"/>
          <w:left w:val="nil"/>
          <w:bottom w:val="nil"/>
          <w:right w:val="nil"/>
          <w:between w:val="nil"/>
        </w:pBdr>
        <w:jc w:val="both"/>
        <w:rPr>
          <w:rFonts w:ascii="Bookman Old Style" w:eastAsia="Bookman Old Style" w:hAnsi="Bookman Old Style" w:cs="Bookman Old Style"/>
          <w:b/>
          <w:color w:val="000000"/>
          <w:sz w:val="24"/>
          <w:szCs w:val="24"/>
        </w:rPr>
      </w:pPr>
      <w:r w:rsidRPr="003757DA">
        <w:rPr>
          <w:rFonts w:ascii="Bookman Old Style" w:eastAsia="Bookman Old Style" w:hAnsi="Bookman Old Style" w:cs="Bookman Old Style"/>
          <w:b/>
          <w:color w:val="000000"/>
          <w:sz w:val="24"/>
          <w:szCs w:val="24"/>
        </w:rPr>
        <w:t xml:space="preserve">ANTECEDENTES Y TRÁMITE LEGISLATIVO </w:t>
      </w:r>
    </w:p>
    <w:p w:rsidR="003B03D9" w:rsidRPr="003757DA" w:rsidRDefault="003B03D9" w:rsidP="003B03D9">
      <w:pPr>
        <w:jc w:val="both"/>
        <w:rPr>
          <w:rFonts w:ascii="Bookman Old Style" w:eastAsia="Bookman Old Style" w:hAnsi="Bookman Old Style" w:cs="Bookman Old Style"/>
          <w:color w:val="000000"/>
          <w:sz w:val="24"/>
          <w:szCs w:val="24"/>
        </w:rPr>
      </w:pPr>
    </w:p>
    <w:p w:rsidR="003B03D9" w:rsidRDefault="003B03D9" w:rsidP="003B03D9">
      <w:pPr>
        <w:jc w:val="both"/>
        <w:rPr>
          <w:rFonts w:ascii="Bookman Old Style" w:eastAsia="Bookman Old Style" w:hAnsi="Bookman Old Style" w:cs="Bookman Old Style"/>
          <w:color w:val="000000"/>
          <w:sz w:val="24"/>
          <w:szCs w:val="24"/>
        </w:rPr>
      </w:pPr>
      <w:r w:rsidRPr="003757DA">
        <w:rPr>
          <w:rFonts w:ascii="Bookman Old Style" w:eastAsia="Bookman Old Style" w:hAnsi="Bookman Old Style" w:cs="Bookman Old Style"/>
          <w:color w:val="000000"/>
          <w:sz w:val="24"/>
          <w:szCs w:val="24"/>
        </w:rPr>
        <w:t xml:space="preserve">El Proyecto de Ley No. </w:t>
      </w:r>
      <w:r w:rsidR="00895D79">
        <w:rPr>
          <w:rFonts w:ascii="Bookman Old Style" w:eastAsia="Bookman Old Style" w:hAnsi="Bookman Old Style" w:cs="Bookman Old Style"/>
          <w:color w:val="000000"/>
          <w:sz w:val="24"/>
          <w:szCs w:val="24"/>
        </w:rPr>
        <w:t>182</w:t>
      </w:r>
      <w:r w:rsidRPr="003757DA">
        <w:rPr>
          <w:rFonts w:ascii="Bookman Old Style" w:eastAsia="Bookman Old Style" w:hAnsi="Bookman Old Style" w:cs="Bookman Old Style"/>
          <w:color w:val="000000"/>
          <w:sz w:val="24"/>
          <w:szCs w:val="24"/>
        </w:rPr>
        <w:t xml:space="preserve"> de 202</w:t>
      </w:r>
      <w:r>
        <w:rPr>
          <w:rFonts w:ascii="Bookman Old Style" w:eastAsia="Bookman Old Style" w:hAnsi="Bookman Old Style" w:cs="Bookman Old Style"/>
          <w:color w:val="000000"/>
          <w:sz w:val="24"/>
          <w:szCs w:val="24"/>
        </w:rPr>
        <w:t>3</w:t>
      </w:r>
      <w:r w:rsidRPr="003757DA">
        <w:rPr>
          <w:rFonts w:ascii="Bookman Old Style" w:eastAsia="Bookman Old Style" w:hAnsi="Bookman Old Style" w:cs="Bookman Old Style"/>
          <w:color w:val="000000"/>
          <w:sz w:val="24"/>
          <w:szCs w:val="24"/>
        </w:rPr>
        <w:t xml:space="preserve"> Cám</w:t>
      </w:r>
      <w:r>
        <w:rPr>
          <w:rFonts w:ascii="Bookman Old Style" w:eastAsia="Bookman Old Style" w:hAnsi="Bookman Old Style" w:cs="Bookman Old Style"/>
          <w:color w:val="000000"/>
          <w:sz w:val="24"/>
          <w:szCs w:val="24"/>
        </w:rPr>
        <w:t xml:space="preserve">ara fue radicado el día </w:t>
      </w:r>
      <w:r w:rsidR="00895D79">
        <w:rPr>
          <w:rFonts w:ascii="Bookman Old Style" w:eastAsia="Bookman Old Style" w:hAnsi="Bookman Old Style" w:cs="Bookman Old Style"/>
          <w:color w:val="000000"/>
          <w:sz w:val="24"/>
          <w:szCs w:val="24"/>
        </w:rPr>
        <w:t>treinta (30</w:t>
      </w:r>
      <w:r w:rsidRPr="003757DA">
        <w:rPr>
          <w:rFonts w:ascii="Bookman Old Style" w:eastAsia="Bookman Old Style" w:hAnsi="Bookman Old Style" w:cs="Bookman Old Style"/>
          <w:color w:val="000000"/>
          <w:sz w:val="24"/>
          <w:szCs w:val="24"/>
        </w:rPr>
        <w:t xml:space="preserve">) de </w:t>
      </w:r>
      <w:r w:rsidR="00895D79">
        <w:rPr>
          <w:rFonts w:ascii="Bookman Old Style" w:eastAsia="Bookman Old Style" w:hAnsi="Bookman Old Style" w:cs="Bookman Old Style"/>
          <w:color w:val="000000"/>
          <w:sz w:val="24"/>
          <w:szCs w:val="24"/>
        </w:rPr>
        <w:t xml:space="preserve">agosto </w:t>
      </w:r>
      <w:r w:rsidRPr="003757DA">
        <w:rPr>
          <w:rFonts w:ascii="Bookman Old Style" w:eastAsia="Bookman Old Style" w:hAnsi="Bookman Old Style" w:cs="Bookman Old Style"/>
          <w:color w:val="000000"/>
          <w:sz w:val="24"/>
          <w:szCs w:val="24"/>
        </w:rPr>
        <w:t xml:space="preserve">del </w:t>
      </w:r>
      <w:r w:rsidR="00895D79">
        <w:rPr>
          <w:rFonts w:ascii="Bookman Old Style" w:eastAsia="Bookman Old Style" w:hAnsi="Bookman Old Style" w:cs="Bookman Old Style"/>
          <w:color w:val="000000"/>
          <w:sz w:val="24"/>
          <w:szCs w:val="24"/>
        </w:rPr>
        <w:t>2023</w:t>
      </w:r>
      <w:r w:rsidRPr="003757DA">
        <w:rPr>
          <w:rFonts w:ascii="Bookman Old Style" w:eastAsia="Bookman Old Style" w:hAnsi="Bookman Old Style" w:cs="Bookman Old Style"/>
          <w:color w:val="000000"/>
          <w:sz w:val="24"/>
          <w:szCs w:val="24"/>
        </w:rPr>
        <w:t xml:space="preserve"> ante la Secretaría General del Cámara por </w:t>
      </w:r>
      <w:r w:rsidR="00895D79">
        <w:rPr>
          <w:rFonts w:ascii="Bookman Old Style" w:eastAsia="Bookman Old Style" w:hAnsi="Bookman Old Style" w:cs="Bookman Old Style"/>
          <w:color w:val="000000"/>
          <w:sz w:val="24"/>
          <w:szCs w:val="24"/>
        </w:rPr>
        <w:t>los</w:t>
      </w:r>
      <w:r w:rsidRPr="003757DA">
        <w:rPr>
          <w:rFonts w:ascii="Bookman Old Style" w:eastAsia="Bookman Old Style" w:hAnsi="Bookman Old Style" w:cs="Bookman Old Style"/>
          <w:color w:val="000000"/>
          <w:sz w:val="24"/>
          <w:szCs w:val="24"/>
        </w:rPr>
        <w:t xml:space="preserve"> Representante </w:t>
      </w:r>
      <w:hyperlink r:id="rId7" w:history="1">
        <w:r w:rsidR="00895D79">
          <w:rPr>
            <w:rFonts w:ascii="Bookman Old Style" w:eastAsia="Bookman Old Style" w:hAnsi="Bookman Old Style" w:cs="Bookman Old Style"/>
            <w:color w:val="000000"/>
            <w:sz w:val="24"/>
            <w:szCs w:val="24"/>
          </w:rPr>
          <w:t>Karyme</w:t>
        </w:r>
      </w:hyperlink>
      <w:r w:rsidR="00895D79">
        <w:rPr>
          <w:rFonts w:ascii="Bookman Old Style" w:eastAsia="Bookman Old Style" w:hAnsi="Bookman Old Style" w:cs="Bookman Old Style"/>
          <w:color w:val="000000"/>
          <w:sz w:val="24"/>
          <w:szCs w:val="24"/>
        </w:rPr>
        <w:t xml:space="preserve"> Adrana Cotes Martínez, Carlos Felipe Quintero Ovalle, Germán Rogelio Rozo Anís, Álvaro Leonel Rueda Caballero, </w:t>
      </w:r>
      <w:proofErr w:type="spellStart"/>
      <w:r w:rsidR="00895D79">
        <w:rPr>
          <w:rFonts w:ascii="Bookman Old Style" w:eastAsia="Bookman Old Style" w:hAnsi="Bookman Old Style" w:cs="Bookman Old Style"/>
          <w:color w:val="000000"/>
          <w:sz w:val="24"/>
          <w:szCs w:val="24"/>
        </w:rPr>
        <w:t>Jezmi</w:t>
      </w:r>
      <w:proofErr w:type="spellEnd"/>
      <w:r w:rsidR="00895D79">
        <w:rPr>
          <w:rFonts w:ascii="Bookman Old Style" w:eastAsia="Bookman Old Style" w:hAnsi="Bookman Old Style" w:cs="Bookman Old Style"/>
          <w:color w:val="000000"/>
          <w:sz w:val="24"/>
          <w:szCs w:val="24"/>
        </w:rPr>
        <w:t xml:space="preserve"> </w:t>
      </w:r>
      <w:proofErr w:type="spellStart"/>
      <w:r w:rsidR="00895D79">
        <w:rPr>
          <w:rFonts w:ascii="Bookman Old Style" w:eastAsia="Bookman Old Style" w:hAnsi="Bookman Old Style" w:cs="Bookman Old Style"/>
          <w:color w:val="000000"/>
          <w:sz w:val="24"/>
          <w:szCs w:val="24"/>
        </w:rPr>
        <w:t>Lizeth</w:t>
      </w:r>
      <w:proofErr w:type="spellEnd"/>
      <w:r w:rsidR="00895D79">
        <w:rPr>
          <w:rFonts w:ascii="Bookman Old Style" w:eastAsia="Bookman Old Style" w:hAnsi="Bookman Old Style" w:cs="Bookman Old Style"/>
          <w:color w:val="000000"/>
          <w:sz w:val="24"/>
          <w:szCs w:val="24"/>
        </w:rPr>
        <w:t xml:space="preserve"> Barraza </w:t>
      </w:r>
      <w:proofErr w:type="spellStart"/>
      <w:r w:rsidR="00895D79">
        <w:rPr>
          <w:rFonts w:ascii="Bookman Old Style" w:eastAsia="Bookman Old Style" w:hAnsi="Bookman Old Style" w:cs="Bookman Old Style"/>
          <w:color w:val="000000"/>
          <w:sz w:val="24"/>
          <w:szCs w:val="24"/>
        </w:rPr>
        <w:t>Arraut</w:t>
      </w:r>
      <w:proofErr w:type="spellEnd"/>
      <w:r w:rsidR="00895D79">
        <w:rPr>
          <w:rFonts w:ascii="Bookman Old Style" w:eastAsia="Bookman Old Style" w:hAnsi="Bookman Old Style" w:cs="Bookman Old Style"/>
          <w:color w:val="000000"/>
          <w:sz w:val="24"/>
          <w:szCs w:val="24"/>
        </w:rPr>
        <w:t xml:space="preserve">, Flora Perdomo Andrade, Elizabeth </w:t>
      </w:r>
      <w:proofErr w:type="spellStart"/>
      <w:r w:rsidR="00895D79">
        <w:rPr>
          <w:rFonts w:ascii="Bookman Old Style" w:eastAsia="Bookman Old Style" w:hAnsi="Bookman Old Style" w:cs="Bookman Old Style"/>
          <w:color w:val="000000"/>
          <w:sz w:val="24"/>
          <w:szCs w:val="24"/>
        </w:rPr>
        <w:t>Jay-Pang</w:t>
      </w:r>
      <w:proofErr w:type="spellEnd"/>
      <w:r w:rsidR="00895D79">
        <w:rPr>
          <w:rFonts w:ascii="Bookman Old Style" w:eastAsia="Bookman Old Style" w:hAnsi="Bookman Old Style" w:cs="Bookman Old Style"/>
          <w:color w:val="000000"/>
          <w:sz w:val="24"/>
          <w:szCs w:val="24"/>
        </w:rPr>
        <w:t xml:space="preserve"> Díaz</w:t>
      </w:r>
      <w:r w:rsidRPr="003757DA">
        <w:rPr>
          <w:rFonts w:ascii="Bookman Old Style" w:eastAsia="Bookman Old Style" w:hAnsi="Bookman Old Style" w:cs="Bookman Old Style"/>
          <w:color w:val="000000"/>
          <w:sz w:val="24"/>
          <w:szCs w:val="24"/>
        </w:rPr>
        <w:t>,</w:t>
      </w:r>
      <w:r w:rsidR="00895D79">
        <w:rPr>
          <w:rFonts w:ascii="Bookman Old Style" w:eastAsia="Bookman Old Style" w:hAnsi="Bookman Old Style" w:cs="Bookman Old Style"/>
          <w:color w:val="000000"/>
          <w:sz w:val="24"/>
          <w:szCs w:val="24"/>
        </w:rPr>
        <w:t xml:space="preserve"> Olga Beatriz González Correa, Mónica Karina Bocanegra Pantoja y Luis David Suarez </w:t>
      </w:r>
      <w:proofErr w:type="spellStart"/>
      <w:r w:rsidR="00895D79">
        <w:rPr>
          <w:rFonts w:ascii="Bookman Old Style" w:eastAsia="Bookman Old Style" w:hAnsi="Bookman Old Style" w:cs="Bookman Old Style"/>
          <w:color w:val="000000"/>
          <w:sz w:val="24"/>
          <w:szCs w:val="24"/>
        </w:rPr>
        <w:t>Chadid</w:t>
      </w:r>
      <w:proofErr w:type="spellEnd"/>
      <w:r w:rsidR="00895D79">
        <w:rPr>
          <w:rFonts w:ascii="Bookman Old Style" w:eastAsia="Bookman Old Style" w:hAnsi="Bookman Old Style" w:cs="Bookman Old Style"/>
          <w:color w:val="000000"/>
          <w:sz w:val="24"/>
          <w:szCs w:val="24"/>
        </w:rPr>
        <w:t>,</w:t>
      </w:r>
      <w:r w:rsidRPr="003757DA">
        <w:rPr>
          <w:rFonts w:ascii="Bookman Old Style" w:eastAsia="Bookman Old Style" w:hAnsi="Bookman Old Style" w:cs="Bookman Old Style"/>
          <w:color w:val="000000"/>
          <w:sz w:val="24"/>
          <w:szCs w:val="24"/>
        </w:rPr>
        <w:t xml:space="preserve"> el cual fue debidamente publicado en la Gaceta No. </w:t>
      </w:r>
      <w:r w:rsidR="00895D79">
        <w:rPr>
          <w:rFonts w:ascii="Bookman Old Style" w:eastAsia="Bookman Old Style" w:hAnsi="Bookman Old Style" w:cs="Bookman Old Style"/>
          <w:color w:val="000000"/>
          <w:sz w:val="24"/>
          <w:szCs w:val="24"/>
        </w:rPr>
        <w:t>1264</w:t>
      </w:r>
      <w:r>
        <w:rPr>
          <w:rFonts w:ascii="Bookman Old Style" w:eastAsia="Bookman Old Style" w:hAnsi="Bookman Old Style" w:cs="Bookman Old Style"/>
          <w:color w:val="000000"/>
          <w:sz w:val="24"/>
          <w:szCs w:val="24"/>
        </w:rPr>
        <w:t xml:space="preserve"> de 2023</w:t>
      </w:r>
      <w:r w:rsidRPr="003757DA">
        <w:rPr>
          <w:rFonts w:ascii="Bookman Old Style" w:eastAsia="Bookman Old Style" w:hAnsi="Bookman Old Style" w:cs="Bookman Old Style"/>
          <w:color w:val="000000"/>
          <w:sz w:val="24"/>
          <w:szCs w:val="24"/>
        </w:rPr>
        <w:t xml:space="preserve">. </w:t>
      </w:r>
    </w:p>
    <w:p w:rsidR="00895D79" w:rsidRDefault="00895D79" w:rsidP="003B03D9">
      <w:pPr>
        <w:jc w:val="both"/>
        <w:rPr>
          <w:rFonts w:ascii="Bookman Old Style" w:eastAsia="Bookman Old Style" w:hAnsi="Bookman Old Style" w:cs="Bookman Old Style"/>
          <w:color w:val="000000"/>
          <w:sz w:val="24"/>
          <w:szCs w:val="24"/>
        </w:rPr>
      </w:pPr>
    </w:p>
    <w:p w:rsidR="003B03D9" w:rsidRDefault="00895D79" w:rsidP="00895D79">
      <w:pPr>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La Mesa Directiva de la Comisión I </w:t>
      </w:r>
      <w:r w:rsidRPr="003757DA">
        <w:rPr>
          <w:rFonts w:ascii="Bookman Old Style" w:eastAsia="Bookman Old Style" w:hAnsi="Bookman Old Style" w:cs="Bookman Old Style"/>
          <w:color w:val="000000"/>
          <w:sz w:val="24"/>
          <w:szCs w:val="24"/>
        </w:rPr>
        <w:t>Constitucional de la Cámara de Representantes</w:t>
      </w:r>
      <w:r>
        <w:rPr>
          <w:rFonts w:ascii="Bookman Old Style" w:eastAsia="Bookman Old Style" w:hAnsi="Bookman Old Style" w:cs="Bookman Old Style"/>
          <w:color w:val="000000"/>
          <w:sz w:val="24"/>
          <w:szCs w:val="24"/>
        </w:rPr>
        <w:t xml:space="preserve"> decidió acumular el </w:t>
      </w:r>
      <w:r w:rsidRPr="003757DA">
        <w:rPr>
          <w:rFonts w:ascii="Bookman Old Style" w:eastAsia="Bookman Old Style" w:hAnsi="Bookman Old Style" w:cs="Bookman Old Style"/>
          <w:color w:val="000000"/>
          <w:sz w:val="24"/>
          <w:szCs w:val="24"/>
        </w:rPr>
        <w:t xml:space="preserve">Proyecto de Ley No. </w:t>
      </w:r>
      <w:r>
        <w:rPr>
          <w:rFonts w:ascii="Bookman Old Style" w:eastAsia="Bookman Old Style" w:hAnsi="Bookman Old Style" w:cs="Bookman Old Style"/>
          <w:color w:val="000000"/>
          <w:sz w:val="24"/>
          <w:szCs w:val="24"/>
        </w:rPr>
        <w:t>182</w:t>
      </w:r>
      <w:r w:rsidRPr="003757DA">
        <w:rPr>
          <w:rFonts w:ascii="Bookman Old Style" w:eastAsia="Bookman Old Style" w:hAnsi="Bookman Old Style" w:cs="Bookman Old Style"/>
          <w:color w:val="000000"/>
          <w:sz w:val="24"/>
          <w:szCs w:val="24"/>
        </w:rPr>
        <w:t xml:space="preserve"> de 202</w:t>
      </w:r>
      <w:r>
        <w:rPr>
          <w:rFonts w:ascii="Bookman Old Style" w:eastAsia="Bookman Old Style" w:hAnsi="Bookman Old Style" w:cs="Bookman Old Style"/>
          <w:color w:val="000000"/>
          <w:sz w:val="24"/>
          <w:szCs w:val="24"/>
        </w:rPr>
        <w:t>3</w:t>
      </w:r>
      <w:r w:rsidRPr="003757DA">
        <w:rPr>
          <w:rFonts w:ascii="Bookman Old Style" w:eastAsia="Bookman Old Style" w:hAnsi="Bookman Old Style" w:cs="Bookman Old Style"/>
          <w:color w:val="000000"/>
          <w:sz w:val="24"/>
          <w:szCs w:val="24"/>
        </w:rPr>
        <w:t xml:space="preserve"> Cám</w:t>
      </w:r>
      <w:r>
        <w:rPr>
          <w:rFonts w:ascii="Bookman Old Style" w:eastAsia="Bookman Old Style" w:hAnsi="Bookman Old Style" w:cs="Bookman Old Style"/>
          <w:color w:val="000000"/>
          <w:sz w:val="24"/>
          <w:szCs w:val="24"/>
        </w:rPr>
        <w:t xml:space="preserve">ara con el Proyecto de Ley </w:t>
      </w:r>
      <w:r w:rsidRPr="00895D79">
        <w:rPr>
          <w:rFonts w:ascii="Bookman Old Style" w:eastAsia="Bookman Old Style" w:hAnsi="Bookman Old Style" w:cs="Bookman Old Style"/>
          <w:color w:val="000000"/>
          <w:sz w:val="24"/>
          <w:szCs w:val="24"/>
        </w:rPr>
        <w:t>No. 147 de 2023 Cámara “</w:t>
      </w:r>
      <w:r>
        <w:rPr>
          <w:rFonts w:ascii="Bookman Old Style" w:eastAsia="Bookman Old Style" w:hAnsi="Bookman Old Style" w:cs="Bookman Old Style"/>
          <w:color w:val="000000"/>
          <w:sz w:val="24"/>
          <w:szCs w:val="24"/>
        </w:rPr>
        <w:t>P</w:t>
      </w:r>
      <w:r w:rsidRPr="00895D79">
        <w:rPr>
          <w:rFonts w:ascii="Bookman Old Style" w:eastAsia="Bookman Old Style" w:hAnsi="Bookman Old Style" w:cs="Bookman Old Style"/>
          <w:color w:val="000000"/>
          <w:sz w:val="24"/>
          <w:szCs w:val="24"/>
        </w:rPr>
        <w:t>or m</w:t>
      </w:r>
      <w:r>
        <w:rPr>
          <w:rFonts w:ascii="Bookman Old Style" w:eastAsia="Bookman Old Style" w:hAnsi="Bookman Old Style" w:cs="Bookman Old Style"/>
          <w:color w:val="000000"/>
          <w:sz w:val="24"/>
          <w:szCs w:val="24"/>
        </w:rPr>
        <w:t>edio de la cual se modifica el Código P</w:t>
      </w:r>
      <w:r w:rsidRPr="00895D79">
        <w:rPr>
          <w:rFonts w:ascii="Bookman Old Style" w:eastAsia="Bookman Old Style" w:hAnsi="Bookman Old Style" w:cs="Bookman Old Style"/>
          <w:color w:val="000000"/>
          <w:sz w:val="24"/>
          <w:szCs w:val="24"/>
        </w:rPr>
        <w:t>enal,</w:t>
      </w:r>
      <w:r>
        <w:rPr>
          <w:rFonts w:ascii="Bookman Old Style" w:eastAsia="Bookman Old Style" w:hAnsi="Bookman Old Style" w:cs="Bookman Old Style"/>
          <w:color w:val="000000"/>
          <w:sz w:val="24"/>
          <w:szCs w:val="24"/>
        </w:rPr>
        <w:t xml:space="preserve"> se establece el tipo penal de </w:t>
      </w:r>
      <w:proofErr w:type="spellStart"/>
      <w:r>
        <w:rPr>
          <w:rFonts w:ascii="Bookman Old Style" w:eastAsia="Bookman Old Style" w:hAnsi="Bookman Old Style" w:cs="Bookman Old Style"/>
          <w:color w:val="000000"/>
          <w:sz w:val="24"/>
          <w:szCs w:val="24"/>
        </w:rPr>
        <w:t>C</w:t>
      </w:r>
      <w:r w:rsidRPr="00895D79">
        <w:rPr>
          <w:rFonts w:ascii="Bookman Old Style" w:eastAsia="Bookman Old Style" w:hAnsi="Bookman Old Style" w:cs="Bookman Old Style"/>
          <w:color w:val="000000"/>
          <w:sz w:val="24"/>
          <w:szCs w:val="24"/>
        </w:rPr>
        <w:t>iberacoso</w:t>
      </w:r>
      <w:proofErr w:type="spellEnd"/>
      <w:r w:rsidRPr="00895D79">
        <w:rPr>
          <w:rFonts w:ascii="Bookman Old Style" w:eastAsia="Bookman Old Style" w:hAnsi="Bookman Old Style" w:cs="Bookman Old Style"/>
          <w:color w:val="000000"/>
          <w:sz w:val="24"/>
          <w:szCs w:val="24"/>
        </w:rPr>
        <w:t xml:space="preserve"> sexual de menores y se dictan otras disposiciones”</w:t>
      </w:r>
      <w:r>
        <w:rPr>
          <w:rFonts w:ascii="Bookman Old Style" w:eastAsia="Bookman Old Style" w:hAnsi="Bookman Old Style" w:cs="Bookman Old Style"/>
          <w:color w:val="000000"/>
          <w:sz w:val="24"/>
          <w:szCs w:val="24"/>
        </w:rPr>
        <w:t>, el cual</w:t>
      </w:r>
      <w:r w:rsidRPr="00895D79">
        <w:rPr>
          <w:rFonts w:ascii="Bookman Old Style" w:eastAsia="Bookman Old Style" w:hAnsi="Bookman Old Style" w:cs="Bookman Old Style"/>
          <w:color w:val="000000"/>
          <w:sz w:val="24"/>
          <w:szCs w:val="24"/>
        </w:rPr>
        <w:t xml:space="preserve"> </w:t>
      </w:r>
      <w:r>
        <w:rPr>
          <w:rFonts w:ascii="Bookman Old Style" w:eastAsia="Bookman Old Style" w:hAnsi="Bookman Old Style" w:cs="Bookman Old Style"/>
          <w:color w:val="000000"/>
          <w:sz w:val="24"/>
          <w:szCs w:val="24"/>
        </w:rPr>
        <w:t>había sido</w:t>
      </w:r>
      <w:r w:rsidRPr="00895D79">
        <w:rPr>
          <w:rFonts w:ascii="Bookman Old Style" w:eastAsia="Bookman Old Style" w:hAnsi="Bookman Old Style" w:cs="Bookman Old Style"/>
          <w:color w:val="000000"/>
          <w:sz w:val="24"/>
          <w:szCs w:val="24"/>
        </w:rPr>
        <w:t xml:space="preserve"> radicado el 16 de agosto de 2023</w:t>
      </w:r>
      <w:r>
        <w:rPr>
          <w:rFonts w:ascii="Bookman Old Style" w:eastAsia="Bookman Old Style" w:hAnsi="Bookman Old Style" w:cs="Bookman Old Style"/>
          <w:color w:val="000000"/>
          <w:sz w:val="24"/>
          <w:szCs w:val="24"/>
        </w:rPr>
        <w:t xml:space="preserve"> y en el cual,</w:t>
      </w:r>
      <w:r w:rsidRPr="00895D79">
        <w:rPr>
          <w:rFonts w:ascii="Bookman Old Style" w:eastAsia="Bookman Old Style" w:hAnsi="Bookman Old Style" w:cs="Bookman Old Style"/>
          <w:color w:val="000000"/>
          <w:sz w:val="24"/>
          <w:szCs w:val="24"/>
        </w:rPr>
        <w:t xml:space="preserve"> través del oficio C.P.C.P. 3.1-0224-2023 del 12 de septiembre de 2023, la </w:t>
      </w:r>
      <w:r w:rsidRPr="00895D79">
        <w:rPr>
          <w:rFonts w:ascii="Bookman Old Style" w:eastAsia="Bookman Old Style" w:hAnsi="Bookman Old Style" w:cs="Bookman Old Style"/>
          <w:color w:val="000000"/>
          <w:sz w:val="24"/>
          <w:szCs w:val="24"/>
        </w:rPr>
        <w:lastRenderedPageBreak/>
        <w:t xml:space="preserve">Secretaría de la Comisión Primera de la Cámara </w:t>
      </w:r>
      <w:r>
        <w:rPr>
          <w:rFonts w:ascii="Bookman Old Style" w:eastAsia="Bookman Old Style" w:hAnsi="Bookman Old Style" w:cs="Bookman Old Style"/>
          <w:color w:val="000000"/>
          <w:sz w:val="24"/>
          <w:szCs w:val="24"/>
        </w:rPr>
        <w:t>ya había notificado sobre</w:t>
      </w:r>
      <w:r w:rsidRPr="00895D79">
        <w:rPr>
          <w:rFonts w:ascii="Bookman Old Style" w:eastAsia="Bookman Old Style" w:hAnsi="Bookman Old Style" w:cs="Bookman Old Style"/>
          <w:color w:val="000000"/>
          <w:sz w:val="24"/>
          <w:szCs w:val="24"/>
        </w:rPr>
        <w:t xml:space="preserve"> la designación como ponente único</w:t>
      </w:r>
      <w:r>
        <w:rPr>
          <w:rFonts w:ascii="Bookman Old Style" w:eastAsia="Bookman Old Style" w:hAnsi="Bookman Old Style" w:cs="Bookman Old Style"/>
          <w:color w:val="000000"/>
          <w:sz w:val="24"/>
          <w:szCs w:val="24"/>
        </w:rPr>
        <w:t xml:space="preserve"> al Representante Andrés Felipe Jiménez Vargas.</w:t>
      </w:r>
    </w:p>
    <w:p w:rsidR="00895D79" w:rsidRDefault="00895D79" w:rsidP="00895D79">
      <w:pPr>
        <w:jc w:val="both"/>
        <w:rPr>
          <w:rFonts w:ascii="Bookman Old Style" w:eastAsia="Bookman Old Style" w:hAnsi="Bookman Old Style" w:cs="Bookman Old Style"/>
          <w:color w:val="000000"/>
          <w:sz w:val="24"/>
          <w:szCs w:val="24"/>
        </w:rPr>
      </w:pPr>
    </w:p>
    <w:p w:rsidR="00895D79" w:rsidRDefault="00895D79" w:rsidP="00895D79">
      <w:pPr>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Mediante comunicación fechada 19 de febrero de 2024, el Representante Jiménez Vargas radicó ante la secretaría de la</w:t>
      </w:r>
      <w:r w:rsidRPr="00895D79">
        <w:rPr>
          <w:rFonts w:ascii="Bookman Old Style" w:eastAsia="Bookman Old Style" w:hAnsi="Bookman Old Style" w:cs="Bookman Old Style"/>
          <w:color w:val="000000"/>
          <w:sz w:val="24"/>
          <w:szCs w:val="24"/>
        </w:rPr>
        <w:t xml:space="preserve"> </w:t>
      </w:r>
      <w:r>
        <w:rPr>
          <w:rFonts w:ascii="Bookman Old Style" w:eastAsia="Bookman Old Style" w:hAnsi="Bookman Old Style" w:cs="Bookman Old Style"/>
          <w:color w:val="000000"/>
          <w:sz w:val="24"/>
          <w:szCs w:val="24"/>
        </w:rPr>
        <w:t xml:space="preserve">Comisión I </w:t>
      </w:r>
      <w:r w:rsidRPr="003757DA">
        <w:rPr>
          <w:rFonts w:ascii="Bookman Old Style" w:eastAsia="Bookman Old Style" w:hAnsi="Bookman Old Style" w:cs="Bookman Old Style"/>
          <w:color w:val="000000"/>
          <w:sz w:val="24"/>
          <w:szCs w:val="24"/>
        </w:rPr>
        <w:t>Constitucional de la Cámara de Representantes</w:t>
      </w:r>
      <w:r>
        <w:rPr>
          <w:rFonts w:ascii="Bookman Old Style" w:eastAsia="Bookman Old Style" w:hAnsi="Bookman Old Style" w:cs="Bookman Old Style"/>
          <w:color w:val="000000"/>
          <w:sz w:val="24"/>
          <w:szCs w:val="24"/>
        </w:rPr>
        <w:t xml:space="preserve"> ponencia positiva para primer debate del Proyecto de Ley </w:t>
      </w:r>
      <w:r w:rsidRPr="00895D79">
        <w:rPr>
          <w:rFonts w:ascii="Bookman Old Style" w:eastAsia="Bookman Old Style" w:hAnsi="Bookman Old Style" w:cs="Bookman Old Style"/>
          <w:color w:val="000000"/>
          <w:sz w:val="24"/>
          <w:szCs w:val="24"/>
        </w:rPr>
        <w:t>No. 147 de 2023 Cámara</w:t>
      </w:r>
      <w:r>
        <w:rPr>
          <w:rFonts w:ascii="Bookman Old Style" w:eastAsia="Bookman Old Style" w:hAnsi="Bookman Old Style" w:cs="Bookman Old Style"/>
          <w:color w:val="000000"/>
          <w:sz w:val="24"/>
          <w:szCs w:val="24"/>
        </w:rPr>
        <w:t xml:space="preserve">, acumulado con el </w:t>
      </w:r>
      <w:r w:rsidRPr="003757DA">
        <w:rPr>
          <w:rFonts w:ascii="Bookman Old Style" w:eastAsia="Bookman Old Style" w:hAnsi="Bookman Old Style" w:cs="Bookman Old Style"/>
          <w:color w:val="000000"/>
          <w:sz w:val="24"/>
          <w:szCs w:val="24"/>
        </w:rPr>
        <w:t xml:space="preserve">Proyecto de Ley No. </w:t>
      </w:r>
      <w:r>
        <w:rPr>
          <w:rFonts w:ascii="Bookman Old Style" w:eastAsia="Bookman Old Style" w:hAnsi="Bookman Old Style" w:cs="Bookman Old Style"/>
          <w:color w:val="000000"/>
          <w:sz w:val="24"/>
          <w:szCs w:val="24"/>
        </w:rPr>
        <w:t>182</w:t>
      </w:r>
      <w:r w:rsidRPr="003757DA">
        <w:rPr>
          <w:rFonts w:ascii="Bookman Old Style" w:eastAsia="Bookman Old Style" w:hAnsi="Bookman Old Style" w:cs="Bookman Old Style"/>
          <w:color w:val="000000"/>
          <w:sz w:val="24"/>
          <w:szCs w:val="24"/>
        </w:rPr>
        <w:t xml:space="preserve"> de 202</w:t>
      </w:r>
      <w:r>
        <w:rPr>
          <w:rFonts w:ascii="Bookman Old Style" w:eastAsia="Bookman Old Style" w:hAnsi="Bookman Old Style" w:cs="Bookman Old Style"/>
          <w:color w:val="000000"/>
          <w:sz w:val="24"/>
          <w:szCs w:val="24"/>
        </w:rPr>
        <w:t>3</w:t>
      </w:r>
      <w:r w:rsidRPr="003757DA">
        <w:rPr>
          <w:rFonts w:ascii="Bookman Old Style" w:eastAsia="Bookman Old Style" w:hAnsi="Bookman Old Style" w:cs="Bookman Old Style"/>
          <w:color w:val="000000"/>
          <w:sz w:val="24"/>
          <w:szCs w:val="24"/>
        </w:rPr>
        <w:t xml:space="preserve"> Cám</w:t>
      </w:r>
      <w:r>
        <w:rPr>
          <w:rFonts w:ascii="Bookman Old Style" w:eastAsia="Bookman Old Style" w:hAnsi="Bookman Old Style" w:cs="Bookman Old Style"/>
          <w:color w:val="000000"/>
          <w:sz w:val="24"/>
          <w:szCs w:val="24"/>
        </w:rPr>
        <w:t>ara.</w:t>
      </w:r>
    </w:p>
    <w:p w:rsidR="00895D79" w:rsidRDefault="00895D79" w:rsidP="00895D79">
      <w:pPr>
        <w:jc w:val="both"/>
        <w:rPr>
          <w:rFonts w:ascii="Bookman Old Style" w:eastAsia="Bookman Old Style" w:hAnsi="Bookman Old Style" w:cs="Bookman Old Style"/>
          <w:color w:val="000000"/>
          <w:sz w:val="24"/>
          <w:szCs w:val="24"/>
        </w:rPr>
      </w:pPr>
    </w:p>
    <w:p w:rsidR="003B03D9" w:rsidRDefault="00895D79" w:rsidP="00895D79">
      <w:pPr>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En sesión del 20 de febrero de 2024, la Comisión I Constitucional de la Cámara de Representantes decidió separar el trámite de los mencionados proyectos previamente acumulados, luego de lo cual, la mesa directiva me designó como responsable para rendir ponencia</w:t>
      </w:r>
      <w:r w:rsidR="00650BAF">
        <w:rPr>
          <w:rFonts w:ascii="Bookman Old Style" w:eastAsia="Bookman Old Style" w:hAnsi="Bookman Old Style" w:cs="Bookman Old Style"/>
          <w:color w:val="000000"/>
          <w:sz w:val="24"/>
          <w:szCs w:val="24"/>
        </w:rPr>
        <w:t xml:space="preserve"> para primer debate</w:t>
      </w:r>
      <w:r>
        <w:rPr>
          <w:rFonts w:ascii="Bookman Old Style" w:eastAsia="Bookman Old Style" w:hAnsi="Bookman Old Style" w:cs="Bookman Old Style"/>
          <w:color w:val="000000"/>
          <w:sz w:val="24"/>
          <w:szCs w:val="24"/>
        </w:rPr>
        <w:t xml:space="preserve"> del Proyecto </w:t>
      </w:r>
      <w:r w:rsidRPr="003757DA">
        <w:rPr>
          <w:rFonts w:ascii="Bookman Old Style" w:eastAsia="Bookman Old Style" w:hAnsi="Bookman Old Style" w:cs="Bookman Old Style"/>
          <w:color w:val="000000"/>
          <w:sz w:val="24"/>
          <w:szCs w:val="24"/>
        </w:rPr>
        <w:t xml:space="preserve">de Ley No. </w:t>
      </w:r>
      <w:r>
        <w:rPr>
          <w:rFonts w:ascii="Bookman Old Style" w:eastAsia="Bookman Old Style" w:hAnsi="Bookman Old Style" w:cs="Bookman Old Style"/>
          <w:color w:val="000000"/>
          <w:sz w:val="24"/>
          <w:szCs w:val="24"/>
        </w:rPr>
        <w:t>182</w:t>
      </w:r>
      <w:r w:rsidRPr="003757DA">
        <w:rPr>
          <w:rFonts w:ascii="Bookman Old Style" w:eastAsia="Bookman Old Style" w:hAnsi="Bookman Old Style" w:cs="Bookman Old Style"/>
          <w:color w:val="000000"/>
          <w:sz w:val="24"/>
          <w:szCs w:val="24"/>
        </w:rPr>
        <w:t xml:space="preserve"> de 202</w:t>
      </w:r>
      <w:r>
        <w:rPr>
          <w:rFonts w:ascii="Bookman Old Style" w:eastAsia="Bookman Old Style" w:hAnsi="Bookman Old Style" w:cs="Bookman Old Style"/>
          <w:color w:val="000000"/>
          <w:sz w:val="24"/>
          <w:szCs w:val="24"/>
        </w:rPr>
        <w:t>3</w:t>
      </w:r>
      <w:r w:rsidRPr="003757DA">
        <w:rPr>
          <w:rFonts w:ascii="Bookman Old Style" w:eastAsia="Bookman Old Style" w:hAnsi="Bookman Old Style" w:cs="Bookman Old Style"/>
          <w:color w:val="000000"/>
          <w:sz w:val="24"/>
          <w:szCs w:val="24"/>
        </w:rPr>
        <w:t xml:space="preserve"> Cám</w:t>
      </w:r>
      <w:r>
        <w:rPr>
          <w:rFonts w:ascii="Bookman Old Style" w:eastAsia="Bookman Old Style" w:hAnsi="Bookman Old Style" w:cs="Bookman Old Style"/>
          <w:color w:val="000000"/>
          <w:sz w:val="24"/>
          <w:szCs w:val="24"/>
        </w:rPr>
        <w:t>ara.</w:t>
      </w:r>
    </w:p>
    <w:p w:rsidR="00650BAF" w:rsidRDefault="00650BAF" w:rsidP="00895D79">
      <w:pPr>
        <w:jc w:val="both"/>
        <w:rPr>
          <w:rFonts w:ascii="Bookman Old Style" w:eastAsia="Bookman Old Style" w:hAnsi="Bookman Old Style" w:cs="Bookman Old Style"/>
          <w:color w:val="000000"/>
          <w:sz w:val="24"/>
          <w:szCs w:val="24"/>
        </w:rPr>
      </w:pPr>
    </w:p>
    <w:p w:rsidR="00895D79" w:rsidRPr="00895D79" w:rsidRDefault="00895D79" w:rsidP="00895D79">
      <w:pPr>
        <w:pStyle w:val="Prrafodelista"/>
        <w:numPr>
          <w:ilvl w:val="0"/>
          <w:numId w:val="3"/>
        </w:numPr>
        <w:jc w:val="both"/>
        <w:rPr>
          <w:rFonts w:ascii="Bookman Old Style" w:eastAsia="Bookman Old Style" w:hAnsi="Bookman Old Style" w:cs="Bookman Old Style"/>
          <w:b/>
          <w:color w:val="000000"/>
          <w:sz w:val="24"/>
          <w:szCs w:val="24"/>
        </w:rPr>
      </w:pPr>
      <w:r w:rsidRPr="00895D79">
        <w:rPr>
          <w:rFonts w:ascii="Bookman Old Style" w:eastAsia="Bookman Old Style" w:hAnsi="Bookman Old Style" w:cs="Bookman Old Style"/>
          <w:b/>
          <w:color w:val="000000"/>
          <w:sz w:val="24"/>
          <w:szCs w:val="24"/>
        </w:rPr>
        <w:t>OBJETO DE LA INICIATIVA</w:t>
      </w:r>
    </w:p>
    <w:p w:rsidR="00895D79" w:rsidRDefault="00895D79" w:rsidP="00895D79">
      <w:pPr>
        <w:jc w:val="both"/>
        <w:rPr>
          <w:rFonts w:ascii="Bookman Old Style" w:eastAsia="Bookman Old Style" w:hAnsi="Bookman Old Style" w:cs="Bookman Old Style"/>
          <w:b/>
          <w:color w:val="000000"/>
          <w:sz w:val="24"/>
          <w:szCs w:val="24"/>
        </w:rPr>
      </w:pPr>
    </w:p>
    <w:p w:rsidR="00895D79" w:rsidRDefault="00650BAF" w:rsidP="00895D79">
      <w:pPr>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La iniciativa original presentada </w:t>
      </w:r>
      <w:r w:rsidRPr="00650BAF">
        <w:rPr>
          <w:rFonts w:ascii="Bookman Old Style" w:eastAsia="Bookman Old Style" w:hAnsi="Bookman Old Style" w:cs="Bookman Old Style"/>
          <w:color w:val="000000"/>
          <w:sz w:val="24"/>
          <w:szCs w:val="24"/>
        </w:rPr>
        <w:t>pretende aumentar de catorce (14) a dieciséis (16) años la edad del consentim</w:t>
      </w:r>
      <w:r>
        <w:rPr>
          <w:rFonts w:ascii="Bookman Old Style" w:eastAsia="Bookman Old Style" w:hAnsi="Bookman Old Style" w:cs="Bookman Old Style"/>
          <w:color w:val="000000"/>
          <w:sz w:val="24"/>
          <w:szCs w:val="24"/>
        </w:rPr>
        <w:t>iento sexual de menores de edad y</w:t>
      </w:r>
      <w:r w:rsidRPr="00650BAF">
        <w:rPr>
          <w:rFonts w:ascii="Bookman Old Style" w:eastAsia="Bookman Old Style" w:hAnsi="Bookman Old Style" w:cs="Bookman Old Style"/>
          <w:color w:val="000000"/>
          <w:sz w:val="24"/>
          <w:szCs w:val="24"/>
        </w:rPr>
        <w:t xml:space="preserve"> se aumenta la edad para contraer matrimonio sin el consentimiento de los padres</w:t>
      </w:r>
      <w:r>
        <w:rPr>
          <w:rFonts w:ascii="Bookman Old Style" w:eastAsia="Bookman Old Style" w:hAnsi="Bookman Old Style" w:cs="Bookman Old Style"/>
          <w:color w:val="000000"/>
          <w:sz w:val="24"/>
          <w:szCs w:val="24"/>
        </w:rPr>
        <w:t>,</w:t>
      </w:r>
      <w:r w:rsidRPr="00650BAF">
        <w:rPr>
          <w:rFonts w:ascii="Bookman Old Style" w:eastAsia="Bookman Old Style" w:hAnsi="Bookman Old Style" w:cs="Bookman Old Style"/>
          <w:color w:val="000000"/>
          <w:sz w:val="24"/>
          <w:szCs w:val="24"/>
        </w:rPr>
        <w:t xml:space="preserve"> para lo cual se modifican algunos artículos del código penal y del artículo 53 de </w:t>
      </w:r>
      <w:r>
        <w:rPr>
          <w:rFonts w:ascii="Bookman Old Style" w:eastAsia="Bookman Old Style" w:hAnsi="Bookman Old Style" w:cs="Bookman Old Style"/>
          <w:color w:val="000000"/>
          <w:sz w:val="24"/>
          <w:szCs w:val="24"/>
        </w:rPr>
        <w:t>la Ley 1306 de 2009</w:t>
      </w:r>
      <w:r w:rsidRPr="00650BAF">
        <w:rPr>
          <w:rFonts w:ascii="Bookman Old Style" w:eastAsia="Bookman Old Style" w:hAnsi="Bookman Old Style" w:cs="Bookman Old Style"/>
          <w:color w:val="000000"/>
          <w:sz w:val="24"/>
          <w:szCs w:val="24"/>
        </w:rPr>
        <w:t>.</w:t>
      </w:r>
    </w:p>
    <w:p w:rsidR="00650BAF" w:rsidRDefault="00650BAF" w:rsidP="00895D79">
      <w:pPr>
        <w:jc w:val="both"/>
        <w:rPr>
          <w:rFonts w:ascii="Bookman Old Style" w:eastAsia="Bookman Old Style" w:hAnsi="Bookman Old Style" w:cs="Bookman Old Style"/>
          <w:color w:val="000000"/>
          <w:sz w:val="24"/>
          <w:szCs w:val="24"/>
        </w:rPr>
      </w:pPr>
    </w:p>
    <w:p w:rsidR="00650BAF" w:rsidRPr="00650BAF" w:rsidRDefault="00650BAF" w:rsidP="00650BAF">
      <w:pPr>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L</w:t>
      </w:r>
      <w:r w:rsidRPr="00650BAF">
        <w:rPr>
          <w:rFonts w:ascii="Bookman Old Style" w:eastAsia="Bookman Old Style" w:hAnsi="Bookman Old Style" w:cs="Bookman Old Style"/>
          <w:color w:val="000000"/>
          <w:sz w:val="24"/>
          <w:szCs w:val="24"/>
        </w:rPr>
        <w:t>a misma Constitución Política en su artículo 44 la que establece y exige una defensa y una serie de acciones en busca de una especial protección. El constituyente, si bien habló de protección especial de los menores de edad, no dejó por fuera del amparo a los adolescentes, ello se confirma al leer lo consagrado en el artículo 45 ibídem en donde se observa que "el adolescente tiene derecho a la protección y a la formación integral".</w:t>
      </w:r>
    </w:p>
    <w:p w:rsidR="00650BAF" w:rsidRPr="00650BAF" w:rsidRDefault="00650BAF" w:rsidP="00650BAF">
      <w:pPr>
        <w:jc w:val="both"/>
        <w:rPr>
          <w:rFonts w:ascii="Bookman Old Style" w:eastAsia="Bookman Old Style" w:hAnsi="Bookman Old Style" w:cs="Bookman Old Style"/>
          <w:color w:val="000000"/>
          <w:sz w:val="24"/>
          <w:szCs w:val="24"/>
        </w:rPr>
      </w:pPr>
    </w:p>
    <w:p w:rsidR="00650BAF" w:rsidRPr="00650BAF" w:rsidRDefault="00650BAF" w:rsidP="00650BAF">
      <w:pPr>
        <w:jc w:val="both"/>
        <w:rPr>
          <w:rFonts w:ascii="Bookman Old Style" w:eastAsia="Bookman Old Style" w:hAnsi="Bookman Old Style" w:cs="Bookman Old Style"/>
          <w:color w:val="000000"/>
          <w:sz w:val="24"/>
          <w:szCs w:val="24"/>
        </w:rPr>
      </w:pPr>
      <w:r w:rsidRPr="00650BAF">
        <w:rPr>
          <w:rFonts w:ascii="Bookman Old Style" w:eastAsia="Bookman Old Style" w:hAnsi="Bookman Old Style" w:cs="Bookman Old Style"/>
          <w:color w:val="000000"/>
          <w:sz w:val="24"/>
          <w:szCs w:val="24"/>
        </w:rPr>
        <w:t xml:space="preserve">El abuso sexual infantil y los actos sexuales con niños, niñas y adolescentes no siempre ha sido una conducta penalizada, por el contrario, según Sáenz Martínez, solo a mediados del siglo XX los Estados comenzaron a preocuparse por los abusos sexuales a esta población y, con la entrada en vigor de la Carta de los Derechos del Niño en 1989, los gobiernos comienzan a cambiar la legislación y crear medios e instituciones para proteger a los menores </w:t>
      </w:r>
      <w:r>
        <w:rPr>
          <w:rFonts w:ascii="Bookman Old Style" w:eastAsia="Bookman Old Style" w:hAnsi="Bookman Old Style" w:cs="Bookman Old Style"/>
          <w:color w:val="000000"/>
          <w:sz w:val="24"/>
          <w:szCs w:val="24"/>
        </w:rPr>
        <w:t>de edad</w:t>
      </w:r>
      <w:r w:rsidRPr="00650BAF">
        <w:rPr>
          <w:rFonts w:ascii="Bookman Old Style" w:eastAsia="Bookman Old Style" w:hAnsi="Bookman Old Style" w:cs="Bookman Old Style"/>
          <w:color w:val="000000"/>
          <w:sz w:val="24"/>
          <w:szCs w:val="24"/>
        </w:rPr>
        <w:t>. En tiempos pasados era común, aceptado y poco rechazado el hecho de observar adultos relacionados sexualmente con menores de edad. Sin embargo, esa idea, con el paso de los tiempos, se ha modificado debido a los avances en el tema de los derechos de los niños, niñas y adolescentes y a los cambios en las concepciones relacionadas con la necesidad de protegerlos y brindarles espacios que les permitan crecer y formarse de manera integral.</w:t>
      </w:r>
    </w:p>
    <w:p w:rsidR="00650BAF" w:rsidRPr="00650BAF" w:rsidRDefault="00650BAF" w:rsidP="00650BAF">
      <w:pPr>
        <w:jc w:val="both"/>
        <w:rPr>
          <w:rFonts w:ascii="Bookman Old Style" w:eastAsia="Bookman Old Style" w:hAnsi="Bookman Old Style" w:cs="Bookman Old Style"/>
          <w:color w:val="000000"/>
          <w:sz w:val="24"/>
          <w:szCs w:val="24"/>
        </w:rPr>
      </w:pPr>
    </w:p>
    <w:p w:rsidR="00650BAF" w:rsidRPr="00650BAF" w:rsidRDefault="00650BAF" w:rsidP="00650BAF">
      <w:pPr>
        <w:jc w:val="both"/>
        <w:rPr>
          <w:rFonts w:ascii="Bookman Old Style" w:eastAsia="Bookman Old Style" w:hAnsi="Bookman Old Style" w:cs="Bookman Old Style"/>
          <w:color w:val="000000"/>
          <w:sz w:val="24"/>
          <w:szCs w:val="24"/>
        </w:rPr>
      </w:pPr>
      <w:r w:rsidRPr="00650BAF">
        <w:rPr>
          <w:rFonts w:ascii="Bookman Old Style" w:eastAsia="Bookman Old Style" w:hAnsi="Bookman Old Style" w:cs="Bookman Old Style"/>
          <w:color w:val="000000"/>
          <w:sz w:val="24"/>
          <w:szCs w:val="24"/>
        </w:rPr>
        <w:t xml:space="preserve">Se ha demostrado que la actividad sexual temprana en la adolescencia representa un problema de salud pública por cuanto es causa de otros flagelos como </w:t>
      </w:r>
      <w:r w:rsidRPr="00650BAF">
        <w:rPr>
          <w:rFonts w:ascii="Bookman Old Style" w:eastAsia="Bookman Old Style" w:hAnsi="Bookman Old Style" w:cs="Bookman Old Style"/>
          <w:color w:val="000000"/>
          <w:sz w:val="24"/>
          <w:szCs w:val="24"/>
        </w:rPr>
        <w:lastRenderedPageBreak/>
        <w:t>embarazo adolescente, problemas familiares, económicos y sociales, en la medida en que un embarazo adolescente representa inevitablemente un retraso en la formación educativa de los niños, niñas y adolescentes y un aumento en las dificultades y complejidades en la toma de decisiones para la escogencia de su formación socio ocupacional. El hecho que un niño, niña o adolescente inicie su vida sexual de la que puedan surgir consecuencias de embarazos, enfermedades de transmisión sexual o el mismo cuidado de un hijo, puede llevar a un escenario del que dependerá su futuro, las oportunidades económicas de un futuro adulto, las posibilidades laborales o educativas, por mencionar solo algunas.</w:t>
      </w:r>
    </w:p>
    <w:p w:rsidR="00650BAF" w:rsidRPr="00650BAF" w:rsidRDefault="00650BAF" w:rsidP="00650BAF">
      <w:pPr>
        <w:jc w:val="both"/>
        <w:rPr>
          <w:rFonts w:ascii="Bookman Old Style" w:eastAsia="Bookman Old Style" w:hAnsi="Bookman Old Style" w:cs="Bookman Old Style"/>
          <w:color w:val="000000"/>
          <w:sz w:val="24"/>
          <w:szCs w:val="24"/>
        </w:rPr>
      </w:pPr>
    </w:p>
    <w:p w:rsidR="00650BAF" w:rsidRPr="00650BAF" w:rsidRDefault="00650BAF" w:rsidP="00650BAF">
      <w:pPr>
        <w:jc w:val="both"/>
        <w:rPr>
          <w:rFonts w:ascii="Bookman Old Style" w:eastAsia="Bookman Old Style" w:hAnsi="Bookman Old Style" w:cs="Bookman Old Style"/>
          <w:color w:val="000000"/>
          <w:sz w:val="24"/>
          <w:szCs w:val="24"/>
        </w:rPr>
      </w:pPr>
      <w:r w:rsidRPr="00650BAF">
        <w:rPr>
          <w:rFonts w:ascii="Bookman Old Style" w:eastAsia="Bookman Old Style" w:hAnsi="Bookman Old Style" w:cs="Bookman Old Style"/>
          <w:color w:val="000000"/>
          <w:sz w:val="24"/>
          <w:szCs w:val="24"/>
        </w:rPr>
        <w:t xml:space="preserve">Si bien la escala de </w:t>
      </w:r>
      <w:proofErr w:type="spellStart"/>
      <w:r w:rsidRPr="00650BAF">
        <w:rPr>
          <w:rFonts w:ascii="Bookman Old Style" w:eastAsia="Bookman Old Style" w:hAnsi="Bookman Old Style" w:cs="Bookman Old Style"/>
          <w:color w:val="000000"/>
          <w:sz w:val="24"/>
          <w:szCs w:val="24"/>
        </w:rPr>
        <w:t>Tanner</w:t>
      </w:r>
      <w:proofErr w:type="spellEnd"/>
      <w:r w:rsidRPr="00650BAF">
        <w:rPr>
          <w:rFonts w:ascii="Bookman Old Style" w:eastAsia="Bookman Old Style" w:hAnsi="Bookman Old Style" w:cs="Bookman Old Style"/>
          <w:color w:val="000000"/>
          <w:sz w:val="24"/>
          <w:szCs w:val="24"/>
        </w:rPr>
        <w:t xml:space="preserve">  muestra que, por lo general, antes de los catorce (14) años, los adolescentes alcanzan su desarrollo sexual, ello no es razón suficiente para afirmar que es esa misma edad la que se debe tener como aquella en la cual los niños, niñas y adolescentes tienen la capacidad y libertad para tener relaciones sexuales, más cuando el desarrollo biológico no es igual para todos sino que, por el contrario, puede variar debido a condiciones externas, genéticas o médica que llevan a que el mismo se pueda retrasar o desarrollarse de manera precoz. </w:t>
      </w:r>
    </w:p>
    <w:p w:rsidR="00650BAF" w:rsidRPr="00650BAF" w:rsidRDefault="00650BAF" w:rsidP="00650BAF">
      <w:pPr>
        <w:jc w:val="both"/>
        <w:rPr>
          <w:rFonts w:ascii="Bookman Old Style" w:eastAsia="Bookman Old Style" w:hAnsi="Bookman Old Style" w:cs="Bookman Old Style"/>
          <w:color w:val="000000"/>
          <w:sz w:val="24"/>
          <w:szCs w:val="24"/>
        </w:rPr>
      </w:pPr>
    </w:p>
    <w:p w:rsidR="00650BAF" w:rsidRPr="00650BAF" w:rsidRDefault="00650BAF" w:rsidP="00650BAF">
      <w:pPr>
        <w:jc w:val="both"/>
        <w:rPr>
          <w:rFonts w:ascii="Bookman Old Style" w:eastAsia="Bookman Old Style" w:hAnsi="Bookman Old Style" w:cs="Bookman Old Style"/>
          <w:color w:val="000000"/>
          <w:sz w:val="24"/>
          <w:szCs w:val="24"/>
        </w:rPr>
      </w:pPr>
      <w:r w:rsidRPr="00650BAF">
        <w:rPr>
          <w:rFonts w:ascii="Bookman Old Style" w:eastAsia="Bookman Old Style" w:hAnsi="Bookman Old Style" w:cs="Bookman Old Style"/>
          <w:color w:val="000000"/>
          <w:sz w:val="24"/>
          <w:szCs w:val="24"/>
        </w:rPr>
        <w:t xml:space="preserve">La edad de catorce (14) años establecida por las normas actuales y vigentes como la edad para otorgar el consentimiento sexual ha demostrado ser incapaz de controlar el problema de la sexualidad en la niñez, de los embarazos adolescentes, con todas las consecuencias que ello trae, y así lo demuestran las cifras de estadísticas vitales compartidas por el Departamento Nacional de Estadísticas – DANE. </w:t>
      </w:r>
    </w:p>
    <w:p w:rsidR="00650BAF" w:rsidRPr="00650BAF" w:rsidRDefault="00650BAF" w:rsidP="00650BAF">
      <w:pPr>
        <w:jc w:val="both"/>
        <w:rPr>
          <w:rFonts w:ascii="Bookman Old Style" w:eastAsia="Bookman Old Style" w:hAnsi="Bookman Old Style" w:cs="Bookman Old Style"/>
          <w:color w:val="000000"/>
          <w:sz w:val="24"/>
          <w:szCs w:val="24"/>
        </w:rPr>
      </w:pPr>
    </w:p>
    <w:p w:rsidR="00650BAF" w:rsidRDefault="00650BAF" w:rsidP="00650BAF">
      <w:pPr>
        <w:jc w:val="both"/>
        <w:rPr>
          <w:rFonts w:ascii="Bookman Old Style" w:eastAsia="Bookman Old Style" w:hAnsi="Bookman Old Style" w:cs="Bookman Old Style"/>
          <w:color w:val="000000"/>
          <w:sz w:val="24"/>
          <w:szCs w:val="24"/>
        </w:rPr>
      </w:pPr>
      <w:r w:rsidRPr="00650BAF">
        <w:rPr>
          <w:rFonts w:ascii="Bookman Old Style" w:eastAsia="Bookman Old Style" w:hAnsi="Bookman Old Style" w:cs="Bookman Old Style"/>
          <w:color w:val="000000"/>
          <w:sz w:val="24"/>
          <w:szCs w:val="24"/>
        </w:rPr>
        <w:t>Esta situación no se presenta solo en Colombia, son muchos los países, incluyendo a los que conforman la Unión Europea, los que han decidido aumentar la edad para que un menor manifieste su consentimiento para tener relaciones sexuales como estrategia de protección de los mismos.</w:t>
      </w:r>
    </w:p>
    <w:p w:rsidR="00650BAF" w:rsidRDefault="00650BAF" w:rsidP="00650BAF">
      <w:pPr>
        <w:jc w:val="both"/>
        <w:rPr>
          <w:rFonts w:ascii="Bookman Old Style" w:eastAsia="Bookman Old Style" w:hAnsi="Bookman Old Style" w:cs="Bookman Old Style"/>
          <w:color w:val="000000"/>
          <w:sz w:val="24"/>
          <w:szCs w:val="24"/>
        </w:rPr>
      </w:pPr>
    </w:p>
    <w:p w:rsidR="00650BAF" w:rsidRDefault="00650BAF" w:rsidP="00650BAF">
      <w:pPr>
        <w:pStyle w:val="Prrafodelista"/>
        <w:numPr>
          <w:ilvl w:val="0"/>
          <w:numId w:val="3"/>
        </w:numPr>
        <w:jc w:val="both"/>
        <w:rPr>
          <w:rFonts w:ascii="Bookman Old Style" w:eastAsia="Bookman Old Style" w:hAnsi="Bookman Old Style" w:cs="Bookman Old Style"/>
          <w:b/>
          <w:color w:val="000000"/>
          <w:sz w:val="24"/>
          <w:szCs w:val="24"/>
        </w:rPr>
      </w:pPr>
      <w:r>
        <w:rPr>
          <w:rFonts w:ascii="Bookman Old Style" w:eastAsia="Bookman Old Style" w:hAnsi="Bookman Old Style" w:cs="Bookman Old Style"/>
          <w:b/>
          <w:color w:val="000000"/>
          <w:sz w:val="24"/>
          <w:szCs w:val="24"/>
        </w:rPr>
        <w:t>FUNDAMENTOS</w:t>
      </w:r>
    </w:p>
    <w:p w:rsidR="00650BAF" w:rsidRDefault="00650BAF" w:rsidP="00650BAF">
      <w:pPr>
        <w:jc w:val="both"/>
        <w:rPr>
          <w:rFonts w:ascii="Bookman Old Style" w:eastAsia="Bookman Old Style" w:hAnsi="Bookman Old Style" w:cs="Bookman Old Style"/>
          <w:b/>
          <w:color w:val="000000"/>
          <w:sz w:val="24"/>
          <w:szCs w:val="24"/>
        </w:rPr>
      </w:pPr>
    </w:p>
    <w:p w:rsidR="00650BAF" w:rsidRPr="00650BAF" w:rsidRDefault="00650BAF" w:rsidP="00650BAF">
      <w:pPr>
        <w:rPr>
          <w:rFonts w:ascii="Bookman Old Style" w:eastAsia="Bookman Old Style" w:hAnsi="Bookman Old Style" w:cs="Bookman Old Style"/>
          <w:b/>
          <w:sz w:val="24"/>
          <w:szCs w:val="24"/>
        </w:rPr>
      </w:pPr>
      <w:r w:rsidRPr="00650BAF">
        <w:rPr>
          <w:rFonts w:ascii="Bookman Old Style" w:eastAsia="Bookman Old Style" w:hAnsi="Bookman Old Style" w:cs="Bookman Old Style"/>
          <w:b/>
          <w:sz w:val="24"/>
          <w:szCs w:val="24"/>
        </w:rPr>
        <w:t>III.I. FUNDAMENTOS CONSTITUCIONALES</w:t>
      </w:r>
    </w:p>
    <w:p w:rsidR="00650BAF" w:rsidRPr="00650BAF" w:rsidRDefault="00650BAF" w:rsidP="00650BAF">
      <w:pPr>
        <w:jc w:val="both"/>
        <w:rPr>
          <w:rFonts w:ascii="Bookman Old Style" w:eastAsia="Bookman Old Style" w:hAnsi="Bookman Old Style" w:cs="Bookman Old Style"/>
          <w:sz w:val="24"/>
          <w:szCs w:val="24"/>
        </w:rPr>
      </w:pPr>
    </w:p>
    <w:p w:rsidR="00650BAF" w:rsidRPr="00650BAF" w:rsidRDefault="00650BAF" w:rsidP="00650BAF">
      <w:pPr>
        <w:spacing w:line="276"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t xml:space="preserve">El artículo 5° de la Constitución Política indica que el Estado reconoce, sin discriminación alguna, la primacía de los derechos inalienables de las personas. Uno de esos derechos inalienables está consagrado en el artículo 12 ibídem, según el cual nadie será sometido a tratos degradantes.  Precisamente por lo anterior, sabemos que los actos sexuales y el acceso carnal no tienen tal consideración cuando una persona mayor, enteramente dueña de su comportamiento, los lleve a cabo en forma voluntaria y libre; pero sí lo son, y en alto grado, cuando se obtienen de una persona cuya madurez psicológica y desarrollo físico todavía están en formación, como en el caso de los menores; su libertad no es plena, pues </w:t>
      </w:r>
      <w:r w:rsidRPr="00650BAF">
        <w:rPr>
          <w:rFonts w:ascii="Bookman Old Style" w:eastAsia="Bookman Old Style" w:hAnsi="Bookman Old Style" w:cs="Bookman Old Style"/>
          <w:sz w:val="24"/>
          <w:szCs w:val="24"/>
        </w:rPr>
        <w:lastRenderedPageBreak/>
        <w:t>carecen de una cabal conciencia acerca de sus actos y las consecuencias que aparejan</w:t>
      </w:r>
      <w:r w:rsidRPr="00650BAF">
        <w:rPr>
          <w:rStyle w:val="Refdenotaalpie"/>
          <w:rFonts w:ascii="Bookman Old Style" w:eastAsia="Bookman Old Style" w:hAnsi="Bookman Old Style"/>
          <w:sz w:val="24"/>
          <w:szCs w:val="24"/>
        </w:rPr>
        <w:footnoteReference w:id="1"/>
      </w:r>
      <w:r w:rsidRPr="00650BAF">
        <w:rPr>
          <w:rFonts w:ascii="Bookman Old Style" w:eastAsia="Bookman Old Style" w:hAnsi="Bookman Old Style" w:cs="Bookman Old Style"/>
          <w:sz w:val="24"/>
          <w:szCs w:val="24"/>
        </w:rPr>
        <w:t>.</w:t>
      </w:r>
    </w:p>
    <w:p w:rsidR="00650BAF" w:rsidRPr="00650BAF" w:rsidRDefault="00650BAF" w:rsidP="00650BAF">
      <w:pPr>
        <w:spacing w:line="276" w:lineRule="auto"/>
        <w:jc w:val="both"/>
        <w:rPr>
          <w:rFonts w:ascii="Bookman Old Style" w:eastAsia="Bookman Old Style" w:hAnsi="Bookman Old Style" w:cs="Bookman Old Style"/>
          <w:sz w:val="24"/>
          <w:szCs w:val="24"/>
        </w:rPr>
      </w:pPr>
    </w:p>
    <w:p w:rsidR="00650BAF" w:rsidRPr="00650BAF" w:rsidRDefault="00650BAF" w:rsidP="00650BAF">
      <w:pPr>
        <w:spacing w:line="276" w:lineRule="auto"/>
        <w:jc w:val="both"/>
        <w:rPr>
          <w:rFonts w:ascii="Bookman Old Style" w:eastAsia="Bookman Old Style" w:hAnsi="Bookman Old Style" w:cs="Bookman Old Style"/>
          <w:i/>
          <w:sz w:val="24"/>
          <w:szCs w:val="24"/>
        </w:rPr>
      </w:pPr>
      <w:r w:rsidRPr="00650BAF">
        <w:rPr>
          <w:rFonts w:ascii="Bookman Old Style" w:eastAsia="Bookman Old Style" w:hAnsi="Bookman Old Style" w:cs="Bookman Old Style"/>
          <w:sz w:val="24"/>
          <w:szCs w:val="24"/>
        </w:rPr>
        <w:t xml:space="preserve">El artículo 44 y 45 se concentran en la protección especial de los niños, niñas y adolescentes, quienes, tal como lo ha establecido la Corte Constitucional en varias de sus sentencias, </w:t>
      </w:r>
      <w:r w:rsidRPr="00650BAF">
        <w:rPr>
          <w:rFonts w:ascii="Bookman Old Style" w:eastAsia="Bookman Old Style" w:hAnsi="Bookman Old Style" w:cs="Bookman Old Style"/>
          <w:i/>
          <w:sz w:val="24"/>
          <w:szCs w:val="24"/>
        </w:rPr>
        <w:t>“… no gozan de una suficiente capacidad de comprensión respecto del acto carnal y, por tanto, aunque presten su consentimiento para realizarlo o para llevar a cabo prácticas sexuales diversas de él, no lo hacen en las mismas condiciones de dominio y auto-control propios de la persona mayor.</w:t>
      </w:r>
    </w:p>
    <w:p w:rsidR="00650BAF" w:rsidRPr="00650BAF" w:rsidRDefault="00650BAF" w:rsidP="00650BAF">
      <w:pPr>
        <w:spacing w:line="276" w:lineRule="auto"/>
        <w:jc w:val="both"/>
        <w:rPr>
          <w:rFonts w:ascii="Bookman Old Style" w:eastAsia="Bookman Old Style" w:hAnsi="Bookman Old Style" w:cs="Bookman Old Style"/>
          <w:i/>
          <w:sz w:val="24"/>
          <w:szCs w:val="24"/>
        </w:rPr>
      </w:pPr>
    </w:p>
    <w:p w:rsidR="00650BAF" w:rsidRDefault="00650BAF" w:rsidP="00650BAF">
      <w:pPr>
        <w:pStyle w:val="Textonotapie"/>
        <w:spacing w:line="276" w:lineRule="auto"/>
        <w:rPr>
          <w:rFonts w:ascii="Bookman Old Style" w:eastAsia="Bookman Old Style" w:hAnsi="Bookman Old Style" w:cs="Bookman Old Style"/>
          <w:i/>
          <w:sz w:val="24"/>
          <w:szCs w:val="24"/>
          <w:lang w:val="es-CO" w:eastAsia="es-CO"/>
        </w:rPr>
      </w:pPr>
      <w:r w:rsidRPr="00650BAF">
        <w:rPr>
          <w:rFonts w:ascii="Bookman Old Style" w:eastAsia="Bookman Old Style" w:hAnsi="Bookman Old Style" w:cs="Bookman Old Style"/>
          <w:sz w:val="24"/>
          <w:szCs w:val="24"/>
          <w:lang w:val="es-CO" w:eastAsia="es-CO"/>
        </w:rPr>
        <w:t>La Gaceta Constitucional No. 85, P.7, en relación al derecho de los jóvenes, muestra en uno de sus apartes que</w:t>
      </w:r>
      <w:r w:rsidRPr="00650BAF">
        <w:rPr>
          <w:sz w:val="24"/>
          <w:szCs w:val="24"/>
        </w:rPr>
        <w:t xml:space="preserve"> </w:t>
      </w:r>
      <w:r w:rsidRPr="00650BAF">
        <w:rPr>
          <w:rFonts w:ascii="Bookman Old Style" w:eastAsia="Bookman Old Style" w:hAnsi="Bookman Old Style" w:cs="Bookman Old Style"/>
          <w:i/>
          <w:sz w:val="24"/>
          <w:szCs w:val="24"/>
          <w:lang w:val="es-CO" w:eastAsia="es-CO"/>
        </w:rPr>
        <w:t>“la adolescencia es una fase de transición entre la niñez y la vida adulta independiente. Ella es el centro donde confluyen las alegrías y traumas de la infancia y el despertar de conciencia e inicio del camino hacia la vida adulta (…). Por tanto, el ado</w:t>
      </w:r>
      <w:r w:rsidRPr="00650BAF">
        <w:rPr>
          <w:rFonts w:ascii="Bookman Old Style" w:eastAsia="Bookman Old Style" w:hAnsi="Bookman Old Style" w:cs="Bookman Old Style"/>
          <w:i/>
          <w:sz w:val="24"/>
          <w:szCs w:val="24"/>
          <w:lang w:val="es-CO" w:eastAsia="es-CO"/>
        </w:rPr>
        <w:softHyphen/>
        <w:t>lescen</w:t>
      </w:r>
      <w:r w:rsidRPr="00650BAF">
        <w:rPr>
          <w:rFonts w:ascii="Bookman Old Style" w:eastAsia="Bookman Old Style" w:hAnsi="Bookman Old Style" w:cs="Bookman Old Style"/>
          <w:i/>
          <w:sz w:val="24"/>
          <w:szCs w:val="24"/>
          <w:lang w:val="es-CO" w:eastAsia="es-CO"/>
        </w:rPr>
        <w:softHyphen/>
        <w:t>te requiere un tratamiento especial y un lugar en la Constitución como máximo ordenamiento jurídico del país para que de ahí se desprendan políticas de desarrollo que lleven paulatinamente a la madurez. (…) Por esta razón, dentro del articulado se propone que el Estado y la sociedad le garanticen al joven un desarrollo integral que contemple los aspectos relativos a la formación física, social, intelectual y sexual.</w:t>
      </w:r>
    </w:p>
    <w:p w:rsidR="00650BAF" w:rsidRDefault="00650BAF" w:rsidP="00650BAF">
      <w:pPr>
        <w:pStyle w:val="Textonotapie"/>
        <w:spacing w:line="276" w:lineRule="auto"/>
        <w:rPr>
          <w:rFonts w:ascii="Bookman Old Style" w:eastAsia="Bookman Old Style" w:hAnsi="Bookman Old Style" w:cs="Bookman Old Style"/>
          <w:i/>
          <w:sz w:val="24"/>
          <w:szCs w:val="24"/>
          <w:lang w:val="es-CO" w:eastAsia="es-CO"/>
        </w:rPr>
      </w:pPr>
    </w:p>
    <w:p w:rsidR="00650BAF" w:rsidRPr="00650BAF" w:rsidRDefault="00650BAF" w:rsidP="00650BAF">
      <w:pPr>
        <w:pStyle w:val="Textonotapie"/>
        <w:spacing w:line="276" w:lineRule="auto"/>
        <w:rPr>
          <w:rFonts w:ascii="Bookman Old Style" w:eastAsia="Bookman Old Style" w:hAnsi="Bookman Old Style" w:cs="Bookman Old Style"/>
          <w:b/>
          <w:sz w:val="24"/>
          <w:szCs w:val="24"/>
          <w:u w:val="single"/>
        </w:rPr>
      </w:pPr>
      <w:r>
        <w:rPr>
          <w:rFonts w:ascii="Bookman Old Style" w:eastAsia="Bookman Old Style" w:hAnsi="Bookman Old Style" w:cs="Bookman Old Style"/>
          <w:b/>
          <w:sz w:val="24"/>
          <w:szCs w:val="24"/>
          <w:lang w:val="es-CO" w:eastAsia="es-CO"/>
        </w:rPr>
        <w:t xml:space="preserve">III.II. </w:t>
      </w:r>
      <w:r w:rsidRPr="00650BAF">
        <w:rPr>
          <w:rFonts w:ascii="Bookman Old Style" w:eastAsia="Bookman Old Style" w:hAnsi="Bookman Old Style" w:cs="Bookman Old Style"/>
          <w:b/>
          <w:sz w:val="24"/>
          <w:szCs w:val="24"/>
        </w:rPr>
        <w:t>FUNDAMENTOS JURISPRUDENCIALES</w:t>
      </w:r>
    </w:p>
    <w:p w:rsidR="00650BAF" w:rsidRPr="00650BAF" w:rsidRDefault="00650BAF" w:rsidP="00650BAF">
      <w:pPr>
        <w:pStyle w:val="Sinespaciado"/>
        <w:jc w:val="both"/>
        <w:rPr>
          <w:rFonts w:ascii="Bookman Old Style" w:eastAsia="Bookman Old Style" w:hAnsi="Bookman Old Style" w:cs="Bookman Old Style"/>
          <w:sz w:val="24"/>
          <w:szCs w:val="24"/>
        </w:rPr>
      </w:pPr>
    </w:p>
    <w:p w:rsidR="00650BAF" w:rsidRPr="00650BAF" w:rsidRDefault="00650BAF" w:rsidP="00650BAF">
      <w:pPr>
        <w:pStyle w:val="Sinespaciado"/>
        <w:spacing w:line="276"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t>La Corte Constitucional ha estudiado en muchas de sus sentencias el tema de la especial protección de los niños y niñas, de los adolescentes, el consentimiento para contraer matrimonio, la edad plena para la libertad del consentimiento sexual, entre otras temáticas relacionadas con el tema de la libertad sexual y protección de los menores de edad en Colombia.</w:t>
      </w:r>
    </w:p>
    <w:p w:rsidR="00650BAF" w:rsidRPr="00650BAF" w:rsidRDefault="00650BAF" w:rsidP="00650BAF">
      <w:pPr>
        <w:pStyle w:val="Sinespaciado"/>
        <w:spacing w:line="276" w:lineRule="auto"/>
        <w:jc w:val="both"/>
        <w:rPr>
          <w:rFonts w:ascii="Bookman Old Style" w:eastAsia="Bookman Old Style" w:hAnsi="Bookman Old Style" w:cs="Bookman Old Style"/>
          <w:sz w:val="24"/>
          <w:szCs w:val="24"/>
        </w:rPr>
      </w:pPr>
    </w:p>
    <w:p w:rsidR="00650BAF" w:rsidRPr="00650BAF" w:rsidRDefault="00650BAF" w:rsidP="00650BAF">
      <w:pPr>
        <w:pStyle w:val="Sinespaciado"/>
        <w:spacing w:line="276"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t>En cuanto a la protección de los niños, niñas y adolescentes, y la necesidad de la misma, en la Sentencia C-507 de 2004 la Corte nos indica:</w:t>
      </w:r>
    </w:p>
    <w:p w:rsidR="00650BAF" w:rsidRPr="00650BAF" w:rsidRDefault="00650BAF" w:rsidP="00650BAF">
      <w:pPr>
        <w:pStyle w:val="Sinespaciado"/>
        <w:spacing w:line="276" w:lineRule="auto"/>
        <w:jc w:val="both"/>
        <w:rPr>
          <w:rFonts w:ascii="Bookman Old Style" w:eastAsia="Bookman Old Style" w:hAnsi="Bookman Old Style" w:cs="Bookman Old Style"/>
          <w:sz w:val="24"/>
          <w:szCs w:val="24"/>
        </w:rPr>
      </w:pPr>
    </w:p>
    <w:p w:rsidR="00650BAF" w:rsidRPr="00650BAF" w:rsidRDefault="00650BAF" w:rsidP="00650BAF">
      <w:pPr>
        <w:pStyle w:val="Sinespaciado"/>
        <w:spacing w:line="276" w:lineRule="auto"/>
        <w:jc w:val="both"/>
        <w:rPr>
          <w:rFonts w:ascii="Bookman Old Style" w:eastAsia="Bookman Old Style" w:hAnsi="Bookman Old Style" w:cs="Bookman Old Style"/>
          <w:i/>
          <w:sz w:val="24"/>
          <w:szCs w:val="24"/>
        </w:rPr>
      </w:pPr>
      <w:r w:rsidRPr="00650BAF">
        <w:rPr>
          <w:rFonts w:ascii="Bookman Old Style" w:eastAsia="Bookman Old Style" w:hAnsi="Bookman Old Style" w:cs="Bookman Old Style"/>
          <w:i/>
          <w:sz w:val="24"/>
          <w:szCs w:val="24"/>
        </w:rPr>
        <w:t>La Constitución de 1991 significó un cambio sustancial en la con</w:t>
      </w:r>
      <w:r w:rsidRPr="00650BAF">
        <w:rPr>
          <w:rFonts w:ascii="Bookman Old Style" w:eastAsia="Bookman Old Style" w:hAnsi="Bookman Old Style" w:cs="Bookman Old Style"/>
          <w:i/>
          <w:sz w:val="24"/>
          <w:szCs w:val="24"/>
        </w:rPr>
        <w:softHyphen/>
        <w:t>cepción que tenía el sistema jurídico sobre los niños. De ser sujetos incapaces con de</w:t>
      </w:r>
      <w:r w:rsidRPr="00650BAF">
        <w:rPr>
          <w:rFonts w:ascii="Bookman Old Style" w:eastAsia="Bookman Old Style" w:hAnsi="Bookman Old Style" w:cs="Bookman Old Style"/>
          <w:i/>
          <w:sz w:val="24"/>
          <w:szCs w:val="24"/>
        </w:rPr>
        <w:softHyphen/>
        <w:t>re</w:t>
      </w:r>
      <w:r w:rsidRPr="00650BAF">
        <w:rPr>
          <w:rFonts w:ascii="Bookman Old Style" w:eastAsia="Bookman Old Style" w:hAnsi="Bookman Old Style" w:cs="Bookman Old Style"/>
          <w:i/>
          <w:sz w:val="24"/>
          <w:szCs w:val="24"/>
        </w:rPr>
        <w:softHyphen/>
        <w:t xml:space="preserve">chos restringidos y hondas limitaciones para poder ejercerlos pasaron a ser concebidos como personas libres y autónomas con plenitud de derechos, que de acuerdo a su edad y a su madurez pueden decidir sobre su propia vida y asumir </w:t>
      </w:r>
      <w:r w:rsidRPr="00650BAF">
        <w:rPr>
          <w:rFonts w:ascii="Bookman Old Style" w:eastAsia="Bookman Old Style" w:hAnsi="Bookman Old Style" w:cs="Bookman Old Style"/>
          <w:i/>
          <w:sz w:val="24"/>
          <w:szCs w:val="24"/>
        </w:rPr>
        <w:lastRenderedPageBreak/>
        <w:t xml:space="preserve">responsabilidades. La condición de debilidad o vulnerabilidad en la que los menores se encuentran, la cual van abandonando a medida que crecen, ya no se entiende como razón para restringir sus derechos y su capacidad para ejercerlos. Ahora es la razón por la cual se les considera “sujetos de protección especial” constitucional. Es decir, la condición en la que se encuentra un menor no es razón para limitar sus derechos sino para protegerlo. Pero esta protección tiene una finalidad liberadora del menor y promotora de su dignidad. </w:t>
      </w:r>
    </w:p>
    <w:p w:rsidR="00650BAF" w:rsidRPr="00650BAF" w:rsidRDefault="00650BAF" w:rsidP="00650BAF">
      <w:pPr>
        <w:pStyle w:val="Sinespaciado"/>
        <w:spacing w:line="276" w:lineRule="auto"/>
        <w:jc w:val="both"/>
        <w:rPr>
          <w:rFonts w:ascii="Bookman Old Style" w:eastAsia="Bookman Old Style" w:hAnsi="Bookman Old Style" w:cs="Bookman Old Style"/>
          <w:i/>
          <w:sz w:val="24"/>
          <w:szCs w:val="24"/>
        </w:rPr>
      </w:pPr>
    </w:p>
    <w:p w:rsidR="00650BAF" w:rsidRDefault="00650BAF" w:rsidP="00650BAF">
      <w:pPr>
        <w:pStyle w:val="Sinespaciado"/>
        <w:spacing w:line="276"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t xml:space="preserve">En esa misma sentencia, la Corte desarrolla en uno de sus apartes lo que ella misma denomina los “derechos de protección”, los cuales, a juicio del alto tribunal, </w:t>
      </w:r>
      <w:r w:rsidRPr="00650BAF">
        <w:rPr>
          <w:rFonts w:ascii="Bookman Old Style" w:eastAsia="Bookman Old Style" w:hAnsi="Bookman Old Style" w:cs="Bookman Old Style"/>
          <w:i/>
          <w:sz w:val="24"/>
          <w:szCs w:val="24"/>
        </w:rPr>
        <w:t xml:space="preserve">“a diferencia de los derechos de libertad, garantizan a las personas que el Estado adopte medidas de carácter fáctico y medidas de carácter normativo para protegerlos. Dentro de las primeras se encuentran aquellas acciones de la administración que suponen movilización de recursos materiales y humanos para impedir, por ejemplo, que la frágil vida e integridad de un niño recién nacido sea maltratada. </w:t>
      </w:r>
      <w:r w:rsidRPr="00650BAF">
        <w:rPr>
          <w:rFonts w:ascii="Bookman Old Style" w:eastAsia="Bookman Old Style" w:hAnsi="Bookman Old Style" w:cs="Bookman Old Style"/>
          <w:b/>
          <w:i/>
          <w:sz w:val="24"/>
          <w:szCs w:val="24"/>
          <w:u w:val="single"/>
        </w:rPr>
        <w:t>Dentro de las medidas de carácter normativo se encuentran, entre otras, las reglas de capacidad o las edades</w:t>
      </w:r>
      <w:r w:rsidRPr="00650BAF">
        <w:rPr>
          <w:rFonts w:ascii="Bookman Old Style" w:eastAsia="Bookman Old Style" w:hAnsi="Bookman Old Style" w:cs="Bookman Old Style"/>
          <w:i/>
          <w:sz w:val="24"/>
          <w:szCs w:val="24"/>
        </w:rPr>
        <w:t xml:space="preserve"> a partir de las cuales se pueden realizar ciertas actividades como trabajar y las condiciones en que ello puede suceder.” </w:t>
      </w:r>
      <w:r w:rsidRPr="00650BAF">
        <w:rPr>
          <w:rFonts w:ascii="Bookman Old Style" w:eastAsia="Bookman Old Style" w:hAnsi="Bookman Old Style" w:cs="Bookman Old Style"/>
          <w:sz w:val="24"/>
          <w:szCs w:val="24"/>
        </w:rPr>
        <w:t>(Subrayado fuera de texto).</w:t>
      </w:r>
    </w:p>
    <w:p w:rsidR="00650BAF" w:rsidRPr="00650BAF" w:rsidRDefault="00650BAF" w:rsidP="00650BAF">
      <w:pPr>
        <w:pStyle w:val="Sinespaciado"/>
        <w:spacing w:line="276" w:lineRule="auto"/>
        <w:jc w:val="both"/>
        <w:rPr>
          <w:rFonts w:ascii="Bookman Old Style" w:eastAsia="Bookman Old Style" w:hAnsi="Bookman Old Style" w:cs="Bookman Old Style"/>
          <w:sz w:val="24"/>
          <w:szCs w:val="24"/>
        </w:rPr>
      </w:pPr>
    </w:p>
    <w:p w:rsidR="00650BAF" w:rsidRPr="00650BAF" w:rsidRDefault="00650BAF" w:rsidP="00650BAF">
      <w:pPr>
        <w:pStyle w:val="Sinespaciado"/>
        <w:spacing w:line="276"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t>A través de la Sentencia C-146 de 1994, con ponencia del Magistrado José Gregorio Hernández, se resolvió declarar ajustados a la Constitución los delitos de acceso carnal abusivo con menor de catorce (14) años y corrupción que traía el Código Penal de 1980, entre otras razones, por considerar que los tipos penales acusados, en térmi</w:t>
      </w:r>
      <w:r w:rsidRPr="00650BAF">
        <w:rPr>
          <w:rFonts w:ascii="Bookman Old Style" w:eastAsia="Bookman Old Style" w:hAnsi="Bookman Old Style" w:cs="Bookman Old Style"/>
          <w:sz w:val="24"/>
          <w:szCs w:val="24"/>
        </w:rPr>
        <w:softHyphen/>
        <w:t>nos generales, no desco</w:t>
      </w:r>
      <w:r w:rsidRPr="00650BAF">
        <w:rPr>
          <w:rFonts w:ascii="Bookman Old Style" w:eastAsia="Bookman Old Style" w:hAnsi="Bookman Old Style" w:cs="Bookman Old Style"/>
          <w:sz w:val="24"/>
          <w:szCs w:val="24"/>
        </w:rPr>
        <w:softHyphen/>
        <w:t>nocían la libertad y autonomía de personas menores de 14 años, por cuanto se trata de conduc</w:t>
      </w:r>
      <w:r w:rsidRPr="00650BAF">
        <w:rPr>
          <w:rFonts w:ascii="Bookman Old Style" w:eastAsia="Bookman Old Style" w:hAnsi="Bookman Old Style" w:cs="Bookman Old Style"/>
          <w:sz w:val="24"/>
          <w:szCs w:val="24"/>
        </w:rPr>
        <w:softHyphen/>
        <w:t>tas que</w:t>
      </w:r>
      <w:r w:rsidRPr="00650BAF">
        <w:rPr>
          <w:sz w:val="24"/>
          <w:szCs w:val="24"/>
          <w:lang w:val="es-ES_tradnl"/>
        </w:rPr>
        <w:t xml:space="preserve"> </w:t>
      </w:r>
      <w:r w:rsidRPr="00650BAF">
        <w:rPr>
          <w:rFonts w:ascii="Bookman Old Style" w:eastAsia="Bookman Old Style" w:hAnsi="Bookman Old Style" w:cs="Bookman Old Style"/>
          <w:i/>
          <w:sz w:val="24"/>
          <w:szCs w:val="24"/>
        </w:rPr>
        <w:t>“(…) atentan de modo directo y manifiesto contra la integridad moral y el desarrollo mental y social de los menores.”</w:t>
      </w:r>
      <w:r w:rsidRPr="00650BAF">
        <w:rPr>
          <w:sz w:val="24"/>
          <w:szCs w:val="24"/>
          <w:lang w:val="es-ES_tradnl"/>
        </w:rPr>
        <w:t xml:space="preserve"> </w:t>
      </w:r>
      <w:r w:rsidRPr="00650BAF">
        <w:rPr>
          <w:rFonts w:ascii="Bookman Old Style" w:eastAsia="Bookman Old Style" w:hAnsi="Bookman Old Style" w:cs="Bookman Old Style"/>
          <w:sz w:val="24"/>
          <w:szCs w:val="24"/>
        </w:rPr>
        <w:t>Para la Corte, los tipos penales no desco</w:t>
      </w:r>
      <w:r w:rsidRPr="00650BAF">
        <w:rPr>
          <w:rFonts w:ascii="Bookman Old Style" w:eastAsia="Bookman Old Style" w:hAnsi="Bookman Old Style" w:cs="Bookman Old Style"/>
          <w:sz w:val="24"/>
          <w:szCs w:val="24"/>
        </w:rPr>
        <w:softHyphen/>
        <w:t xml:space="preserve">nocían los derechos de los niños, por el contrario, los aseguraban y garantizaban, a la vez que permitían al país cumplir las normas internacionales de protección a los niños, en especial la Convención sobre los derechos de los niños. </w:t>
      </w:r>
    </w:p>
    <w:p w:rsidR="00650BAF" w:rsidRPr="00650BAF" w:rsidRDefault="00650BAF" w:rsidP="00650BAF">
      <w:pPr>
        <w:pStyle w:val="Sinespaciado"/>
        <w:spacing w:line="276" w:lineRule="auto"/>
        <w:jc w:val="both"/>
        <w:rPr>
          <w:rFonts w:ascii="Bookman Old Style" w:eastAsia="Bookman Old Style" w:hAnsi="Bookman Old Style" w:cs="Bookman Old Style"/>
          <w:sz w:val="24"/>
          <w:szCs w:val="24"/>
        </w:rPr>
      </w:pPr>
    </w:p>
    <w:p w:rsidR="00650BAF" w:rsidRPr="00650BAF" w:rsidRDefault="00650BAF" w:rsidP="00650BAF">
      <w:pPr>
        <w:pStyle w:val="Sinespaciado"/>
        <w:spacing w:line="276"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t xml:space="preserve">La anterior decisión fue reiterada por la Corte en Sentencia C-1095 de 2003, Magistrado Ponente Marco Gerardo Monroy Cabra, pero esta vez en relación a los delitos que traen los artículos 208 y 209 de la Ley 599 del año 2000 (Acto sexual abusivo con menor de catorce años y acto sexual con menor de catorce años). </w:t>
      </w:r>
    </w:p>
    <w:p w:rsidR="00650BAF" w:rsidRPr="00650BAF" w:rsidRDefault="00650BAF" w:rsidP="00650BAF">
      <w:pPr>
        <w:pStyle w:val="Sinespaciado"/>
        <w:spacing w:line="276" w:lineRule="auto"/>
        <w:jc w:val="both"/>
        <w:rPr>
          <w:rFonts w:ascii="Bookman Old Style" w:eastAsia="Bookman Old Style" w:hAnsi="Bookman Old Style" w:cs="Bookman Old Style"/>
          <w:sz w:val="24"/>
          <w:szCs w:val="24"/>
        </w:rPr>
      </w:pPr>
    </w:p>
    <w:p w:rsidR="00650BAF" w:rsidRPr="00650BAF" w:rsidRDefault="00650BAF" w:rsidP="00650BAF">
      <w:pPr>
        <w:pStyle w:val="Default"/>
        <w:spacing w:line="276" w:lineRule="auto"/>
        <w:jc w:val="both"/>
        <w:rPr>
          <w:rFonts w:ascii="Bookman Old Style" w:eastAsia="Bookman Old Style" w:hAnsi="Bookman Old Style" w:cs="Bookman Old Style"/>
          <w:i/>
          <w:color w:val="auto"/>
          <w:lang w:eastAsia="es-CO"/>
        </w:rPr>
      </w:pPr>
      <w:r w:rsidRPr="00650BAF">
        <w:rPr>
          <w:rFonts w:ascii="Bookman Old Style" w:eastAsia="Bookman Old Style" w:hAnsi="Bookman Old Style" w:cs="Bookman Old Style"/>
        </w:rPr>
        <w:t xml:space="preserve">La Sentencia C-876 de 2011, en la cual se volvió a estudiar la edad en los delitos sexuales contra niños, niñas y adolescentes, la Corte afirmó que </w:t>
      </w:r>
      <w:r w:rsidRPr="00650BAF">
        <w:rPr>
          <w:rFonts w:ascii="Bookman Old Style" w:eastAsia="Bookman Old Style" w:hAnsi="Bookman Old Style" w:cs="Bookman Old Style"/>
          <w:i/>
        </w:rPr>
        <w:t>“</w:t>
      </w:r>
      <w:r w:rsidRPr="00650BAF">
        <w:rPr>
          <w:rFonts w:ascii="Bookman Old Style" w:eastAsia="Bookman Old Style" w:hAnsi="Bookman Old Style" w:cs="Bookman Old Style"/>
          <w:i/>
          <w:color w:val="auto"/>
          <w:lang w:eastAsia="es-CO"/>
        </w:rPr>
        <w:t xml:space="preserve">El carácter </w:t>
      </w:r>
      <w:r w:rsidRPr="00650BAF">
        <w:rPr>
          <w:rFonts w:ascii="Bookman Old Style" w:eastAsia="Bookman Old Style" w:hAnsi="Bookman Old Style" w:cs="Bookman Old Style"/>
          <w:i/>
          <w:color w:val="auto"/>
          <w:lang w:eastAsia="es-CO"/>
        </w:rPr>
        <w:lastRenderedPageBreak/>
        <w:t>abusivo de estos actos deriva de la circunstancia de ser realizados con persona que físicamente aún no ha llegado a la plenitud de su desarrollo corporal y, especialmente, por tratarse de seres humanos que no han desplegado su madurez volitiva y sexual, prestándose para el aprovechamiento de personas que los aventajan en lo corporal e intelectual y precipitándolos precozmente a unas experiencias para los que no están adecuadamente preparados, con consecuencias indeseadas como el embarazo prematuro y la asunción de responsabilidades que exceden sus capacidades de desempeño social.”</w:t>
      </w:r>
    </w:p>
    <w:p w:rsidR="00650BAF" w:rsidRDefault="00650BAF" w:rsidP="00650BAF">
      <w:pPr>
        <w:pStyle w:val="Default"/>
        <w:jc w:val="both"/>
        <w:rPr>
          <w:rFonts w:ascii="Bookman Old Style" w:eastAsia="Bookman Old Style" w:hAnsi="Bookman Old Style" w:cs="Bookman Old Style"/>
          <w:i/>
          <w:color w:val="auto"/>
          <w:lang w:eastAsia="es-CO"/>
        </w:rPr>
      </w:pPr>
    </w:p>
    <w:p w:rsidR="00650BAF" w:rsidRPr="00350764" w:rsidRDefault="00650BAF" w:rsidP="00650BAF">
      <w:pPr>
        <w:pStyle w:val="Sinespaciado"/>
        <w:jc w:val="both"/>
        <w:rPr>
          <w:rFonts w:ascii="Bookman Old Style" w:eastAsia="Bookman Old Style" w:hAnsi="Bookman Old Style" w:cs="Bookman Old Style"/>
          <w:b/>
          <w:i/>
          <w:sz w:val="24"/>
          <w:szCs w:val="24"/>
        </w:rPr>
      </w:pPr>
      <w:r>
        <w:rPr>
          <w:rFonts w:ascii="Bookman Old Style" w:eastAsia="Bookman Old Style" w:hAnsi="Bookman Old Style" w:cs="Bookman Old Style"/>
          <w:b/>
          <w:color w:val="000000"/>
          <w:sz w:val="24"/>
          <w:szCs w:val="24"/>
          <w:lang w:eastAsia="en-US"/>
        </w:rPr>
        <w:t xml:space="preserve">III.III. </w:t>
      </w:r>
      <w:r w:rsidRPr="00650BAF">
        <w:rPr>
          <w:rFonts w:ascii="Bookman Old Style" w:eastAsia="Bookman Old Style" w:hAnsi="Bookman Old Style" w:cs="Bookman Old Style"/>
          <w:b/>
          <w:color w:val="000000"/>
          <w:sz w:val="24"/>
          <w:szCs w:val="24"/>
          <w:lang w:eastAsia="en-US"/>
        </w:rPr>
        <w:t>NORMAS INTERNACIONALES SOBRE LOS DERECHOS DE LOS NIÑOS, NIÑAS Y ADOLESCENTES</w:t>
      </w:r>
    </w:p>
    <w:p w:rsidR="00650BAF" w:rsidRDefault="00650BAF" w:rsidP="00650BAF">
      <w:pPr>
        <w:pStyle w:val="Textonotapie"/>
      </w:pPr>
    </w:p>
    <w:p w:rsidR="00650BAF" w:rsidRDefault="00650BAF" w:rsidP="00650BAF">
      <w:pPr>
        <w:pStyle w:val="Textonotapie"/>
        <w:spacing w:line="276" w:lineRule="auto"/>
        <w:rPr>
          <w:rFonts w:ascii="Bookman Old Style" w:hAnsi="Bookman Old Style"/>
          <w:sz w:val="24"/>
          <w:szCs w:val="24"/>
        </w:rPr>
      </w:pPr>
      <w:r>
        <w:rPr>
          <w:rFonts w:ascii="Bookman Old Style" w:hAnsi="Bookman Old Style"/>
          <w:sz w:val="24"/>
          <w:szCs w:val="24"/>
        </w:rPr>
        <w:t xml:space="preserve">En las legislaciones modernas y en la organización de los Estados habita la idea de que los mismos carecen de una soberanía exclusiva que les permite justificar la forma en la que se trata a sus ciudadanos, sin tener en cuenta derechos inherentes a las personas. Precisamente fue la globalización y la apertura de los Estados lo que llevó al surgimiento de ideas como la internacionalización del derecho o el pensar que las Constituciones ya no son unos textos cerrados, sino que existen normatividades que entran a hacer parte de lo que se conoce como bloque de constitucionalidad. </w:t>
      </w:r>
    </w:p>
    <w:p w:rsidR="00650BAF" w:rsidRDefault="00650BAF" w:rsidP="00650BAF">
      <w:pPr>
        <w:pStyle w:val="Textonotapie"/>
        <w:spacing w:line="276" w:lineRule="auto"/>
        <w:rPr>
          <w:rFonts w:ascii="Bookman Old Style" w:hAnsi="Bookman Old Style"/>
          <w:sz w:val="24"/>
          <w:szCs w:val="24"/>
        </w:rPr>
      </w:pPr>
    </w:p>
    <w:p w:rsidR="00650BAF" w:rsidRDefault="00650BAF" w:rsidP="00650BAF">
      <w:pPr>
        <w:pStyle w:val="Textonotapie"/>
        <w:spacing w:line="276" w:lineRule="auto"/>
        <w:rPr>
          <w:rFonts w:ascii="Bookman Old Style" w:hAnsi="Bookman Old Style"/>
          <w:sz w:val="24"/>
          <w:szCs w:val="24"/>
        </w:rPr>
      </w:pPr>
      <w:r>
        <w:rPr>
          <w:rFonts w:ascii="Bookman Old Style" w:hAnsi="Bookman Old Style"/>
          <w:sz w:val="24"/>
          <w:szCs w:val="24"/>
        </w:rPr>
        <w:t>El artículo 55 de la Carta de las Naciones Unidas indica que los Estados se obligan a “garantizar el respeto de los derechos humanos”, razón por la que los tratados y convenios ratificados o suscritos por Colombia obtienen una relevancia importante a la hora de entrar a revisar las garantías de los derechos de los asociados.</w:t>
      </w:r>
    </w:p>
    <w:p w:rsidR="00650BAF" w:rsidRDefault="00650BAF" w:rsidP="00650BAF">
      <w:pPr>
        <w:pStyle w:val="Textonotapie"/>
        <w:spacing w:line="276" w:lineRule="auto"/>
        <w:rPr>
          <w:rFonts w:ascii="Bookman Old Style" w:hAnsi="Bookman Old Style"/>
          <w:sz w:val="24"/>
          <w:szCs w:val="24"/>
        </w:rPr>
      </w:pPr>
    </w:p>
    <w:p w:rsidR="00650BAF" w:rsidRDefault="00650BAF" w:rsidP="00650BAF">
      <w:pPr>
        <w:pStyle w:val="Textonotapie"/>
        <w:spacing w:line="276" w:lineRule="auto"/>
        <w:rPr>
          <w:rFonts w:ascii="Bookman Old Style" w:hAnsi="Bookman Old Style"/>
          <w:sz w:val="24"/>
          <w:szCs w:val="24"/>
        </w:rPr>
      </w:pPr>
      <w:r>
        <w:rPr>
          <w:rFonts w:ascii="Bookman Old Style" w:hAnsi="Bookman Old Style"/>
          <w:sz w:val="24"/>
          <w:szCs w:val="24"/>
        </w:rPr>
        <w:t xml:space="preserve">Una de esas normatividades es la Convención sobre los Derechos del Niño, adoptada por la Asamblea General de las Naciones Unidas el 20 de noviembre de 1989 y aprobada por el Congreso de la República mediante la Ley 12 de 1991. Fue precisamente mediante los anteriores hechos con los que se armoniza el principio del interés superior del menor establecido en el mismo texto constitucional. </w:t>
      </w:r>
    </w:p>
    <w:p w:rsidR="00650BAF" w:rsidRDefault="00650BAF" w:rsidP="00650BAF">
      <w:pPr>
        <w:pStyle w:val="Textonotapie"/>
        <w:spacing w:line="276" w:lineRule="auto"/>
        <w:rPr>
          <w:rFonts w:ascii="Bookman Old Style" w:hAnsi="Bookman Old Style"/>
          <w:sz w:val="24"/>
          <w:szCs w:val="24"/>
        </w:rPr>
      </w:pPr>
    </w:p>
    <w:p w:rsidR="00650BAF" w:rsidRDefault="00650BAF" w:rsidP="00650BAF">
      <w:pPr>
        <w:pStyle w:val="Textonotapie"/>
        <w:spacing w:line="276" w:lineRule="auto"/>
        <w:rPr>
          <w:rFonts w:ascii="Bookman Old Style" w:hAnsi="Bookman Old Style"/>
          <w:i/>
          <w:sz w:val="24"/>
          <w:szCs w:val="24"/>
        </w:rPr>
      </w:pPr>
      <w:r>
        <w:rPr>
          <w:rFonts w:ascii="Bookman Old Style" w:hAnsi="Bookman Old Style"/>
          <w:sz w:val="24"/>
          <w:szCs w:val="24"/>
        </w:rPr>
        <w:t xml:space="preserve">La Convención sobre los derechos del niño de la Asamblea General de las Naciones Unidad consagra en su artículo primero que se entiende por niño todo ser humano menor de dieciocho (18) años de edad, </w:t>
      </w:r>
      <w:r>
        <w:rPr>
          <w:rFonts w:ascii="Bookman Old Style" w:hAnsi="Bookman Old Style"/>
          <w:i/>
          <w:sz w:val="24"/>
          <w:szCs w:val="24"/>
        </w:rPr>
        <w:t>“salvo que, en virtud de la ley que le sea aplicable, haya alcanzado antes la mayoría de edad.</w:t>
      </w:r>
    </w:p>
    <w:p w:rsidR="00650BAF" w:rsidRDefault="00650BAF" w:rsidP="00650BAF">
      <w:pPr>
        <w:pStyle w:val="Textonotapie"/>
        <w:spacing w:line="276" w:lineRule="auto"/>
        <w:rPr>
          <w:rFonts w:ascii="Bookman Old Style" w:hAnsi="Bookman Old Style"/>
          <w:i/>
          <w:sz w:val="24"/>
          <w:szCs w:val="24"/>
        </w:rPr>
      </w:pPr>
    </w:p>
    <w:p w:rsidR="00650BAF" w:rsidRDefault="00650BAF" w:rsidP="00650BAF">
      <w:pPr>
        <w:pStyle w:val="Textonotapie"/>
        <w:spacing w:line="276" w:lineRule="auto"/>
        <w:rPr>
          <w:rFonts w:ascii="Bookman Old Style" w:eastAsia="Bookman Old Style" w:hAnsi="Bookman Old Style" w:cs="Bookman Old Style"/>
          <w:sz w:val="24"/>
          <w:szCs w:val="24"/>
        </w:rPr>
      </w:pPr>
      <w:r>
        <w:rPr>
          <w:rFonts w:ascii="Bookman Old Style" w:hAnsi="Bookman Old Style"/>
          <w:sz w:val="24"/>
          <w:szCs w:val="24"/>
        </w:rPr>
        <w:t xml:space="preserve">Así mismo, el artículo 24 del Pacto de los derechos civiles y políticos de 1966 incluye una declaración expresa para los niños, indicando en su numeral primero </w:t>
      </w:r>
      <w:r>
        <w:rPr>
          <w:rFonts w:ascii="Bookman Old Style" w:hAnsi="Bookman Old Style"/>
          <w:sz w:val="24"/>
          <w:szCs w:val="24"/>
        </w:rPr>
        <w:lastRenderedPageBreak/>
        <w:t xml:space="preserve">que </w:t>
      </w:r>
      <w:r w:rsidRPr="00350764">
        <w:rPr>
          <w:rFonts w:ascii="Bookman Old Style" w:hAnsi="Bookman Old Style"/>
          <w:i/>
          <w:sz w:val="24"/>
          <w:szCs w:val="24"/>
        </w:rPr>
        <w:t>“Todo niño tiene derecho, sin discriminación alguna por motivos de raza, color, sexo, idioma, religión, origen nacional o social, posición económica o nacimiento, a las medidas de protección que su condición de menor requiere, tanto por parte de su familia como de la sociedad y del Estado.”</w:t>
      </w:r>
    </w:p>
    <w:p w:rsidR="00650BAF" w:rsidRDefault="00650BAF" w:rsidP="00650BAF">
      <w:pPr>
        <w:jc w:val="both"/>
        <w:rPr>
          <w:rFonts w:ascii="Bookman Old Style" w:eastAsia="Bookman Old Style" w:hAnsi="Bookman Old Style" w:cs="Bookman Old Style"/>
          <w:b/>
          <w:color w:val="000000"/>
          <w:sz w:val="24"/>
          <w:szCs w:val="24"/>
        </w:rPr>
      </w:pPr>
    </w:p>
    <w:p w:rsidR="00650BAF" w:rsidRPr="00650BAF" w:rsidRDefault="00650BAF" w:rsidP="00650BAF">
      <w:pPr>
        <w:pStyle w:val="Prrafodelista"/>
        <w:numPr>
          <w:ilvl w:val="0"/>
          <w:numId w:val="3"/>
        </w:numPr>
        <w:jc w:val="both"/>
        <w:rPr>
          <w:rFonts w:ascii="Bookman Old Style" w:eastAsia="Bookman Old Style" w:hAnsi="Bookman Old Style" w:cs="Bookman Old Style"/>
          <w:b/>
          <w:color w:val="000000"/>
          <w:sz w:val="24"/>
          <w:szCs w:val="24"/>
        </w:rPr>
      </w:pPr>
      <w:r>
        <w:rPr>
          <w:rFonts w:ascii="Bookman Old Style" w:eastAsia="Bookman Old Style" w:hAnsi="Bookman Old Style" w:cs="Bookman Old Style"/>
          <w:b/>
          <w:color w:val="000000"/>
          <w:sz w:val="24"/>
          <w:szCs w:val="24"/>
        </w:rPr>
        <w:t>REALIDAD DE LOS NIÑOS, NIÑAS Y ADOLESCENTES EN COLOMBIA</w:t>
      </w:r>
    </w:p>
    <w:p w:rsidR="00650BAF" w:rsidRPr="00650BAF" w:rsidRDefault="00650BAF" w:rsidP="00650BAF">
      <w:pPr>
        <w:jc w:val="both"/>
        <w:rPr>
          <w:rFonts w:ascii="Bookman Old Style" w:eastAsia="Bookman Old Style" w:hAnsi="Bookman Old Style" w:cs="Bookman Old Style"/>
          <w:b/>
          <w:color w:val="000000"/>
          <w:sz w:val="24"/>
          <w:szCs w:val="24"/>
        </w:rPr>
      </w:pPr>
    </w:p>
    <w:p w:rsidR="00650BAF" w:rsidRPr="00650BAF" w:rsidRDefault="00650BAF" w:rsidP="00650BAF">
      <w:pPr>
        <w:spacing w:line="276"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t>El pasado 15 de septiembre, la Organización Mundial para la publicó</w:t>
      </w:r>
      <w:r w:rsidRPr="00650BAF">
        <w:rPr>
          <w:rStyle w:val="Refdenotaalpie"/>
          <w:rFonts w:ascii="Bookman Old Style" w:eastAsia="Bookman Old Style" w:hAnsi="Bookman Old Style"/>
          <w:sz w:val="24"/>
          <w:szCs w:val="24"/>
        </w:rPr>
        <w:footnoteReference w:id="2"/>
      </w:r>
      <w:r w:rsidRPr="00650BAF">
        <w:rPr>
          <w:rFonts w:ascii="Bookman Old Style" w:eastAsia="Bookman Old Style" w:hAnsi="Bookman Old Style" w:cs="Bookman Old Style"/>
          <w:sz w:val="24"/>
          <w:szCs w:val="24"/>
        </w:rPr>
        <w:t xml:space="preserve"> unas cifras preocupantes sobre el embarazo en las adolescentes a nivel mundial. Según dicha organización, unos 16 millones de jóvenes entre los 15 y 19 años y aproximadamente 1 millón de niñas menores de 15 años dan a luz cada año.</w:t>
      </w:r>
    </w:p>
    <w:p w:rsidR="00650BAF" w:rsidRPr="00650BAF" w:rsidRDefault="00650BAF" w:rsidP="00650BAF">
      <w:pPr>
        <w:spacing w:line="276" w:lineRule="auto"/>
        <w:jc w:val="both"/>
        <w:rPr>
          <w:rFonts w:ascii="Bookman Old Style" w:eastAsia="Bookman Old Style" w:hAnsi="Bookman Old Style" w:cs="Bookman Old Style"/>
          <w:sz w:val="24"/>
          <w:szCs w:val="24"/>
        </w:rPr>
      </w:pPr>
    </w:p>
    <w:p w:rsidR="00650BAF" w:rsidRPr="00650BAF" w:rsidRDefault="00650BAF" w:rsidP="00650BAF">
      <w:pPr>
        <w:spacing w:line="276"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t xml:space="preserve">Según las proyecciones del DANE, en el año 2022 Colombia tenía una población de niñas, niños y adolescentes de entre 10 y 19 años de más o menos 8.031.745. </w:t>
      </w:r>
    </w:p>
    <w:p w:rsidR="00650BAF" w:rsidRPr="00650BAF" w:rsidRDefault="00650BAF" w:rsidP="00650BAF">
      <w:pPr>
        <w:spacing w:line="276" w:lineRule="auto"/>
        <w:jc w:val="both"/>
        <w:rPr>
          <w:rFonts w:ascii="Bookman Old Style" w:eastAsia="Bookman Old Style" w:hAnsi="Bookman Old Style" w:cs="Bookman Old Style"/>
          <w:sz w:val="24"/>
          <w:szCs w:val="24"/>
        </w:rPr>
      </w:pPr>
    </w:p>
    <w:p w:rsidR="00650BAF" w:rsidRPr="00650BAF" w:rsidRDefault="00650BAF" w:rsidP="00650BAF">
      <w:pPr>
        <w:spacing w:line="276"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t xml:space="preserve">Se resalta que en el año 2020 nacieron 629.402 bebés, de los cuales 114.973 fueron de niñas y jóvenes en edades que entre los 10 y los 19 años, lo que nos lleva a afirmar que casi el 19% de los partos que ocurren en Colombia son de madres entre los 10 y 19 años </w:t>
      </w:r>
      <w:r w:rsidRPr="00650BAF">
        <w:rPr>
          <w:rFonts w:ascii="Bookman Old Style" w:eastAsia="Bookman Old Style" w:hAnsi="Bookman Old Style" w:cs="Bookman Old Style"/>
          <w:b/>
          <w:sz w:val="24"/>
          <w:szCs w:val="24"/>
          <w:u w:val="single"/>
        </w:rPr>
        <w:t>(4.301 niñas menores de 14 años tuvieron un bebé en el año 2020).</w:t>
      </w:r>
    </w:p>
    <w:p w:rsidR="00650BAF" w:rsidRPr="00650BAF" w:rsidRDefault="00650BAF" w:rsidP="00650BAF">
      <w:pPr>
        <w:spacing w:line="276" w:lineRule="auto"/>
        <w:jc w:val="both"/>
        <w:rPr>
          <w:rFonts w:ascii="Bookman Old Style" w:eastAsia="Bookman Old Style" w:hAnsi="Bookman Old Style" w:cs="Bookman Old Style"/>
          <w:sz w:val="24"/>
          <w:szCs w:val="24"/>
        </w:rPr>
      </w:pPr>
    </w:p>
    <w:p w:rsidR="00650BAF" w:rsidRPr="00650BAF" w:rsidRDefault="00650BAF" w:rsidP="00650BAF">
      <w:pPr>
        <w:spacing w:line="276"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t xml:space="preserve">La misma fuente de información estadística nos indica que en el año 2021 se registraron 111.548 nacimientos de niñas y adolescentes entre los 10 y los 19 años. De esa cifra, </w:t>
      </w:r>
      <w:r w:rsidRPr="00650BAF">
        <w:rPr>
          <w:rFonts w:ascii="Bookman Old Style" w:eastAsia="Bookman Old Style" w:hAnsi="Bookman Old Style" w:cs="Bookman Old Style"/>
          <w:b/>
          <w:sz w:val="24"/>
          <w:szCs w:val="24"/>
          <w:u w:val="single"/>
        </w:rPr>
        <w:t>4.732 casos corresponden a niñas entre 10 y 14 años, es decir, el 4,32%,</w:t>
      </w:r>
      <w:r w:rsidRPr="00650BAF">
        <w:rPr>
          <w:rFonts w:ascii="Bookman Old Style" w:eastAsia="Bookman Old Style" w:hAnsi="Bookman Old Style" w:cs="Bookman Old Style"/>
          <w:sz w:val="24"/>
          <w:szCs w:val="24"/>
        </w:rPr>
        <w:t xml:space="preserve"> lo que supone un incremento de alrededor del 10% respecto al año 2020. </w:t>
      </w:r>
    </w:p>
    <w:p w:rsidR="00650BAF" w:rsidRPr="00650BAF" w:rsidRDefault="00650BAF" w:rsidP="00650BAF">
      <w:pPr>
        <w:spacing w:line="276" w:lineRule="auto"/>
        <w:jc w:val="both"/>
        <w:rPr>
          <w:rFonts w:ascii="Bookman Old Style" w:eastAsia="Bookman Old Style" w:hAnsi="Bookman Old Style" w:cs="Bookman Old Style"/>
          <w:sz w:val="24"/>
          <w:szCs w:val="24"/>
        </w:rPr>
      </w:pPr>
    </w:p>
    <w:p w:rsidR="00650BAF" w:rsidRPr="00650BAF" w:rsidRDefault="00650BAF" w:rsidP="00650BAF">
      <w:pPr>
        <w:spacing w:line="276"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t xml:space="preserve">Las estadísticas vitales del Departamento Nacional de Estadísticas – DANE, mostró una interesante comparación entre el segundo trimestre del año 2020 y el segundo trimestre del año 2021, el cual mostró un incremento del 22% de nacimientos cuyas madres estaban en el rango entre 10 y 14 años. </w:t>
      </w:r>
    </w:p>
    <w:p w:rsidR="00650BAF" w:rsidRPr="00650BAF" w:rsidRDefault="00650BAF" w:rsidP="00650BAF">
      <w:pPr>
        <w:spacing w:line="276"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t xml:space="preserve">Para el DANE, en el segundo trimestre del año 2021, por lo menos 1.156 niñas entre los 10 y los 14 años de edad dieron a luz en Colombia, 210 nacimientos más de los que se presentaron en ese mismo semestre del año 2020. Adicionalmente, 26.406 jóvenes entre los 15 y 19 años tuvieron bebés en el país (17,7% de los casos), casi 1600 casos más en comparación con el año inmediatamente anterior. El departamento de estadísticas nacionales explica que ya se había emitido una </w:t>
      </w:r>
      <w:r w:rsidRPr="00650BAF">
        <w:rPr>
          <w:rFonts w:ascii="Bookman Old Style" w:eastAsia="Bookman Old Style" w:hAnsi="Bookman Old Style" w:cs="Bookman Old Style"/>
          <w:sz w:val="24"/>
          <w:szCs w:val="24"/>
        </w:rPr>
        <w:lastRenderedPageBreak/>
        <w:t>alerta por parte de la CEPAL, en donde se advertía que los cierres escolares y los confinamientos ocurridos con ocasión a la pandemia del COVID 19 podían representar un retroceso de más de 5 años en la reducción de la tasa específica de fecundidad adolescente en América Latina y el Caribe.</w:t>
      </w:r>
    </w:p>
    <w:p w:rsidR="00650BAF" w:rsidRPr="00650BAF" w:rsidRDefault="00650BAF" w:rsidP="00650BAF">
      <w:pPr>
        <w:spacing w:line="276" w:lineRule="auto"/>
        <w:jc w:val="both"/>
        <w:rPr>
          <w:rFonts w:ascii="Bookman Old Style" w:eastAsia="Bookman Old Style" w:hAnsi="Bookman Old Style" w:cs="Bookman Old Style"/>
          <w:sz w:val="24"/>
          <w:szCs w:val="24"/>
        </w:rPr>
      </w:pPr>
    </w:p>
    <w:p w:rsidR="00650BAF" w:rsidRPr="00650BAF" w:rsidRDefault="00650BAF" w:rsidP="00650BAF">
      <w:pPr>
        <w:spacing w:line="276"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t xml:space="preserve">Otra mirada a las estadísticas nos lleva a analizar la Tasa Específica de Fecundidad – TEFE, la cual se mide por el número de nacimientos por cada 1000 mujeres. Enfocándonos en el tema de las niñas menores de 14 años y en las que se encuentran entre los 15 y los 19 años, encontramos que para el año 2020, la TEFE se situó en 2,2 para las niñas menores de 14 años y en 54,0 para las jóvenes entre 15 y 19 años. </w:t>
      </w:r>
    </w:p>
    <w:p w:rsidR="00650BAF" w:rsidRPr="00650BAF" w:rsidRDefault="00650BAF" w:rsidP="00650BAF">
      <w:pPr>
        <w:spacing w:line="276" w:lineRule="auto"/>
        <w:jc w:val="both"/>
        <w:rPr>
          <w:rFonts w:ascii="Bookman Old Style" w:eastAsia="Bookman Old Style" w:hAnsi="Bookman Old Style" w:cs="Bookman Old Style"/>
          <w:sz w:val="24"/>
          <w:szCs w:val="24"/>
        </w:rPr>
      </w:pPr>
    </w:p>
    <w:p w:rsidR="00650BAF" w:rsidRPr="00650BAF" w:rsidRDefault="00650BAF" w:rsidP="00650BAF">
      <w:pPr>
        <w:spacing w:line="276"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t>Haciendo un repaso del número de casos de niñas entre los 10 y 14 años que tuvieron bebés en Colombia en los últimos años, podemos afirmar que el 2020, año de la pandemia, varió la línea que se venía presentando en el país así:</w:t>
      </w:r>
    </w:p>
    <w:p w:rsidR="00650BAF" w:rsidRPr="00650BAF" w:rsidRDefault="00650BAF" w:rsidP="00650BAF">
      <w:pPr>
        <w:jc w:val="both"/>
        <w:rPr>
          <w:rFonts w:ascii="Bookman Old Style" w:eastAsia="Bookman Old Style" w:hAnsi="Bookman Old Style" w:cs="Bookman Old Style"/>
          <w:sz w:val="24"/>
          <w:szCs w:val="24"/>
        </w:rPr>
      </w:pPr>
    </w:p>
    <w:p w:rsidR="00650BAF" w:rsidRPr="00650BAF" w:rsidRDefault="00650BAF" w:rsidP="00650BAF">
      <w:pPr>
        <w:pStyle w:val="Prrafodelista"/>
        <w:widowControl/>
        <w:numPr>
          <w:ilvl w:val="0"/>
          <w:numId w:val="48"/>
        </w:numPr>
        <w:autoSpaceDE/>
        <w:autoSpaceDN/>
        <w:spacing w:after="160" w:line="259"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t>Año 2015: 6.045 casos.</w:t>
      </w:r>
      <w:r w:rsidRPr="00650BAF">
        <w:rPr>
          <w:rFonts w:ascii="Bookman Old Style" w:eastAsia="Bookman Old Style" w:hAnsi="Bookman Old Style" w:cs="Bookman Old Style"/>
          <w:sz w:val="24"/>
          <w:szCs w:val="24"/>
        </w:rPr>
        <w:tab/>
      </w:r>
      <w:r w:rsidRPr="00650BAF">
        <w:rPr>
          <w:rFonts w:ascii="Bookman Old Style" w:eastAsia="Bookman Old Style" w:hAnsi="Bookman Old Style" w:cs="Bookman Old Style"/>
          <w:sz w:val="24"/>
          <w:szCs w:val="24"/>
        </w:rPr>
        <w:tab/>
      </w:r>
      <w:r w:rsidRPr="00650BAF">
        <w:rPr>
          <w:rFonts w:ascii="Bookman Old Style" w:eastAsia="Bookman Old Style" w:hAnsi="Bookman Old Style" w:cs="Bookman Old Style"/>
          <w:sz w:val="24"/>
          <w:szCs w:val="24"/>
        </w:rPr>
        <w:tab/>
      </w:r>
    </w:p>
    <w:p w:rsidR="00650BAF" w:rsidRPr="00650BAF" w:rsidRDefault="00650BAF" w:rsidP="00650BAF">
      <w:pPr>
        <w:pStyle w:val="Prrafodelista"/>
        <w:widowControl/>
        <w:numPr>
          <w:ilvl w:val="0"/>
          <w:numId w:val="48"/>
        </w:numPr>
        <w:autoSpaceDE/>
        <w:autoSpaceDN/>
        <w:spacing w:after="160" w:line="259"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t>Año 2016: 5.552 casos.</w:t>
      </w:r>
    </w:p>
    <w:p w:rsidR="00650BAF" w:rsidRPr="00650BAF" w:rsidRDefault="00650BAF" w:rsidP="00650BAF">
      <w:pPr>
        <w:pStyle w:val="Prrafodelista"/>
        <w:widowControl/>
        <w:numPr>
          <w:ilvl w:val="0"/>
          <w:numId w:val="48"/>
        </w:numPr>
        <w:autoSpaceDE/>
        <w:autoSpaceDN/>
        <w:spacing w:after="160" w:line="259"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t>Año 2017: 5.883 casos.</w:t>
      </w:r>
      <w:r w:rsidRPr="00650BAF">
        <w:rPr>
          <w:rFonts w:ascii="Bookman Old Style" w:eastAsia="Bookman Old Style" w:hAnsi="Bookman Old Style" w:cs="Bookman Old Style"/>
          <w:sz w:val="24"/>
          <w:szCs w:val="24"/>
        </w:rPr>
        <w:tab/>
      </w:r>
    </w:p>
    <w:p w:rsidR="00650BAF" w:rsidRPr="00650BAF" w:rsidRDefault="00650BAF" w:rsidP="00650BAF">
      <w:pPr>
        <w:pStyle w:val="Prrafodelista"/>
        <w:widowControl/>
        <w:numPr>
          <w:ilvl w:val="0"/>
          <w:numId w:val="48"/>
        </w:numPr>
        <w:autoSpaceDE/>
        <w:autoSpaceDN/>
        <w:spacing w:after="160" w:line="259"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t>Año 2018: 5.442 casos.</w:t>
      </w:r>
      <w:r w:rsidRPr="00650BAF">
        <w:rPr>
          <w:rFonts w:ascii="Bookman Old Style" w:eastAsia="Bookman Old Style" w:hAnsi="Bookman Old Style" w:cs="Bookman Old Style"/>
          <w:sz w:val="24"/>
          <w:szCs w:val="24"/>
        </w:rPr>
        <w:tab/>
      </w:r>
      <w:r w:rsidRPr="00650BAF">
        <w:rPr>
          <w:rFonts w:ascii="Bookman Old Style" w:eastAsia="Bookman Old Style" w:hAnsi="Bookman Old Style" w:cs="Bookman Old Style"/>
          <w:sz w:val="24"/>
          <w:szCs w:val="24"/>
        </w:rPr>
        <w:tab/>
      </w:r>
    </w:p>
    <w:p w:rsidR="00650BAF" w:rsidRPr="00650BAF" w:rsidRDefault="00650BAF" w:rsidP="00650BAF">
      <w:pPr>
        <w:pStyle w:val="Prrafodelista"/>
        <w:widowControl/>
        <w:numPr>
          <w:ilvl w:val="0"/>
          <w:numId w:val="48"/>
        </w:numPr>
        <w:autoSpaceDE/>
        <w:autoSpaceDN/>
        <w:spacing w:after="160" w:line="259"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t>Año 2019: 4.795 casos.</w:t>
      </w:r>
      <w:r w:rsidRPr="00650BAF">
        <w:rPr>
          <w:rFonts w:ascii="Bookman Old Style" w:eastAsia="Bookman Old Style" w:hAnsi="Bookman Old Style" w:cs="Bookman Old Style"/>
          <w:sz w:val="24"/>
          <w:szCs w:val="24"/>
        </w:rPr>
        <w:tab/>
      </w:r>
      <w:r w:rsidRPr="00650BAF">
        <w:rPr>
          <w:rFonts w:ascii="Bookman Old Style" w:eastAsia="Bookman Old Style" w:hAnsi="Bookman Old Style" w:cs="Bookman Old Style"/>
          <w:sz w:val="24"/>
          <w:szCs w:val="24"/>
        </w:rPr>
        <w:tab/>
      </w:r>
      <w:r w:rsidRPr="00650BAF">
        <w:rPr>
          <w:rFonts w:ascii="Bookman Old Style" w:eastAsia="Bookman Old Style" w:hAnsi="Bookman Old Style" w:cs="Bookman Old Style"/>
          <w:sz w:val="24"/>
          <w:szCs w:val="24"/>
        </w:rPr>
        <w:tab/>
      </w:r>
    </w:p>
    <w:p w:rsidR="00650BAF" w:rsidRPr="00650BAF" w:rsidRDefault="00650BAF" w:rsidP="00650BAF">
      <w:pPr>
        <w:pStyle w:val="Prrafodelista"/>
        <w:widowControl/>
        <w:numPr>
          <w:ilvl w:val="0"/>
          <w:numId w:val="48"/>
        </w:numPr>
        <w:autoSpaceDE/>
        <w:autoSpaceDN/>
        <w:spacing w:after="160" w:line="259"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t>Año 2020: 4.301 casos.</w:t>
      </w:r>
    </w:p>
    <w:p w:rsidR="00650BAF" w:rsidRPr="00650BAF" w:rsidRDefault="00650BAF" w:rsidP="00650BAF">
      <w:pPr>
        <w:pStyle w:val="Prrafodelista"/>
        <w:widowControl/>
        <w:numPr>
          <w:ilvl w:val="0"/>
          <w:numId w:val="48"/>
        </w:numPr>
        <w:autoSpaceDE/>
        <w:autoSpaceDN/>
        <w:spacing w:after="160" w:line="259"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t>Año 2021: 4.732 casos.</w:t>
      </w:r>
    </w:p>
    <w:p w:rsidR="00650BAF" w:rsidRPr="00650BAF" w:rsidRDefault="00650BAF" w:rsidP="00650BAF">
      <w:pPr>
        <w:jc w:val="both"/>
        <w:rPr>
          <w:rFonts w:ascii="Bookman Old Style" w:eastAsia="Bookman Old Style" w:hAnsi="Bookman Old Style" w:cs="Bookman Old Style"/>
          <w:sz w:val="24"/>
          <w:szCs w:val="24"/>
        </w:rPr>
      </w:pPr>
    </w:p>
    <w:p w:rsidR="00650BAF" w:rsidRPr="00650BAF" w:rsidRDefault="00650BAF" w:rsidP="00650BAF">
      <w:pPr>
        <w:spacing w:line="276"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t>Las anteriores cifras se obtuvieron de publicaciones realizadas por el Departamento Administrativo Nacional de Estadística.</w:t>
      </w:r>
    </w:p>
    <w:p w:rsidR="00650BAF" w:rsidRPr="00650BAF" w:rsidRDefault="00650BAF" w:rsidP="00650BAF">
      <w:pPr>
        <w:spacing w:line="276" w:lineRule="auto"/>
        <w:jc w:val="both"/>
        <w:rPr>
          <w:rFonts w:ascii="Bookman Old Style" w:eastAsia="Bookman Old Style" w:hAnsi="Bookman Old Style" w:cs="Bookman Old Style"/>
          <w:sz w:val="24"/>
          <w:szCs w:val="24"/>
        </w:rPr>
      </w:pPr>
    </w:p>
    <w:p w:rsidR="00650BAF" w:rsidRPr="00650BAF" w:rsidRDefault="00650BAF" w:rsidP="00650BAF">
      <w:pPr>
        <w:spacing w:line="276"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t>La afectación presentada durante la pandemia para las niñas entre los 10 y los 14 años no se refleja de igual manera para las jóvenes entre los 15 y los 19 años. Las cifras para este último sector poblacional nos muestran que se registró una variación del 3,5% del año 2021 respecto al año inmediatamente anterior, observando una tendencia hacia la disminución constante desde el año 2015, cuando se presentaron 135.979 nacimientos, hasta el año 2021, cuando los nacimientos ascendieron a los 106.816 casos, según datos publicados por el DANE.</w:t>
      </w:r>
    </w:p>
    <w:p w:rsidR="00650BAF" w:rsidRPr="00650BAF" w:rsidRDefault="00650BAF" w:rsidP="00650BAF">
      <w:pPr>
        <w:spacing w:line="276" w:lineRule="auto"/>
        <w:jc w:val="both"/>
        <w:rPr>
          <w:rFonts w:ascii="Bookman Old Style" w:eastAsia="Bookman Old Style" w:hAnsi="Bookman Old Style" w:cs="Bookman Old Style"/>
          <w:sz w:val="24"/>
          <w:szCs w:val="24"/>
        </w:rPr>
      </w:pPr>
    </w:p>
    <w:p w:rsidR="00650BAF" w:rsidRDefault="00650BAF" w:rsidP="00650BAF">
      <w:pPr>
        <w:spacing w:line="276"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t xml:space="preserve">Resulta importante realizar un análisis estadístico comparando la situación de las zonas rurales con las zonas urbanas. Así las cosas, podemos decir que, si bien las primeras cifras publicadas por el departamento administrativo de las estadísticas </w:t>
      </w:r>
      <w:r w:rsidRPr="00650BAF">
        <w:rPr>
          <w:rFonts w:ascii="Bookman Old Style" w:eastAsia="Bookman Old Style" w:hAnsi="Bookman Old Style" w:cs="Bookman Old Style"/>
          <w:sz w:val="24"/>
          <w:szCs w:val="24"/>
        </w:rPr>
        <w:lastRenderedPageBreak/>
        <w:t>para el año 2022 muestra una disminución del total de nacimientos de niñas menores de 14 años, en las zonas rurales se presentó un incremento de casi el 12%, lo que nos lleva a prestarle especial atención a las niñas que viven en estas zonas.</w:t>
      </w:r>
    </w:p>
    <w:p w:rsidR="005D4760" w:rsidRPr="00650BAF" w:rsidRDefault="005D4760" w:rsidP="00650BAF">
      <w:pPr>
        <w:spacing w:line="276" w:lineRule="auto"/>
        <w:jc w:val="both"/>
        <w:rPr>
          <w:rFonts w:ascii="Bookman Old Style" w:eastAsia="Bookman Old Style" w:hAnsi="Bookman Old Style" w:cs="Bookman Old Style"/>
          <w:sz w:val="24"/>
          <w:szCs w:val="24"/>
        </w:rPr>
      </w:pPr>
    </w:p>
    <w:p w:rsidR="00650BAF" w:rsidRDefault="00650BAF" w:rsidP="00650BAF">
      <w:pPr>
        <w:pStyle w:val="Sinespaciado"/>
        <w:jc w:val="center"/>
      </w:pPr>
      <w:r>
        <w:rPr>
          <w:noProof/>
          <w:lang w:bidi="ar-SA"/>
        </w:rPr>
        <w:drawing>
          <wp:inline distT="0" distB="0" distL="0" distR="0" wp14:anchorId="1D8C7B75" wp14:editId="3168E73C">
            <wp:extent cx="4514850" cy="2334260"/>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93" t="28075" r="29397" b="9437"/>
                    <a:stretch/>
                  </pic:blipFill>
                  <pic:spPr bwMode="auto">
                    <a:xfrm>
                      <a:off x="0" y="0"/>
                      <a:ext cx="4592239" cy="2374272"/>
                    </a:xfrm>
                    <a:prstGeom prst="rect">
                      <a:avLst/>
                    </a:prstGeom>
                    <a:ln>
                      <a:noFill/>
                    </a:ln>
                    <a:extLst>
                      <a:ext uri="{53640926-AAD7-44D8-BBD7-CCE9431645EC}">
                        <a14:shadowObscured xmlns:a14="http://schemas.microsoft.com/office/drawing/2010/main"/>
                      </a:ext>
                    </a:extLst>
                  </pic:spPr>
                </pic:pic>
              </a:graphicData>
            </a:graphic>
          </wp:inline>
        </w:drawing>
      </w:r>
    </w:p>
    <w:p w:rsidR="00650BAF" w:rsidRDefault="00650BAF" w:rsidP="00650BAF">
      <w:pPr>
        <w:jc w:val="both"/>
        <w:rPr>
          <w:rFonts w:ascii="Bookman Old Style" w:eastAsia="Bookman Old Style" w:hAnsi="Bookman Old Style" w:cs="Bookman Old Style"/>
        </w:rPr>
      </w:pPr>
    </w:p>
    <w:p w:rsidR="00650BAF" w:rsidRDefault="00650BAF" w:rsidP="00650BAF">
      <w:pPr>
        <w:spacing w:line="276"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t>Al analizar la TEFE entre los 10 y 14 años, teniendo en cuenta el factor geográfico, podemos notar que departamentos como Guaviare, Guainía, Caquetá y Arauca, tienen cifras que se acercan a los 5,0, muy por encima de ciudades como Bogotá en donde llega al 0,8 por cada 1000 niñas.</w:t>
      </w:r>
    </w:p>
    <w:p w:rsidR="00650BAF" w:rsidRPr="00650BAF" w:rsidRDefault="00650BAF" w:rsidP="00650BAF">
      <w:pPr>
        <w:spacing w:line="276" w:lineRule="auto"/>
        <w:jc w:val="both"/>
        <w:rPr>
          <w:rFonts w:ascii="Bookman Old Style" w:eastAsia="Bookman Old Style" w:hAnsi="Bookman Old Style" w:cs="Bookman Old Style"/>
          <w:sz w:val="24"/>
          <w:szCs w:val="24"/>
        </w:rPr>
      </w:pPr>
    </w:p>
    <w:p w:rsidR="00650BAF" w:rsidRDefault="00650BAF" w:rsidP="00650BAF">
      <w:pPr>
        <w:jc w:val="center"/>
        <w:rPr>
          <w:rFonts w:ascii="Bookman Old Style" w:eastAsia="Bookman Old Style" w:hAnsi="Bookman Old Style" w:cs="Bookman Old Style"/>
        </w:rPr>
      </w:pPr>
      <w:r>
        <w:rPr>
          <w:noProof/>
          <w:lang w:bidi="ar-SA"/>
        </w:rPr>
        <w:drawing>
          <wp:inline distT="0" distB="0" distL="0" distR="0" wp14:anchorId="207BB753" wp14:editId="4534AC6A">
            <wp:extent cx="4094545" cy="2719346"/>
            <wp:effectExtent l="0" t="0" r="127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871" t="23546" r="28547" b="10344"/>
                    <a:stretch/>
                  </pic:blipFill>
                  <pic:spPr bwMode="auto">
                    <a:xfrm>
                      <a:off x="0" y="0"/>
                      <a:ext cx="4109186" cy="2729070"/>
                    </a:xfrm>
                    <a:prstGeom prst="rect">
                      <a:avLst/>
                    </a:prstGeom>
                    <a:ln>
                      <a:noFill/>
                    </a:ln>
                    <a:extLst>
                      <a:ext uri="{53640926-AAD7-44D8-BBD7-CCE9431645EC}">
                        <a14:shadowObscured xmlns:a14="http://schemas.microsoft.com/office/drawing/2010/main"/>
                      </a:ext>
                    </a:extLst>
                  </pic:spPr>
                </pic:pic>
              </a:graphicData>
            </a:graphic>
          </wp:inline>
        </w:drawing>
      </w:r>
    </w:p>
    <w:p w:rsidR="005D4760" w:rsidRDefault="005D4760" w:rsidP="00650BAF">
      <w:pPr>
        <w:spacing w:line="276" w:lineRule="auto"/>
        <w:jc w:val="both"/>
        <w:rPr>
          <w:rFonts w:ascii="Bookman Old Style" w:eastAsia="Bookman Old Style" w:hAnsi="Bookman Old Style" w:cs="Bookman Old Style"/>
          <w:sz w:val="24"/>
          <w:szCs w:val="24"/>
        </w:rPr>
      </w:pPr>
    </w:p>
    <w:p w:rsidR="00650BAF" w:rsidRPr="00650BAF" w:rsidRDefault="00650BAF" w:rsidP="00650BAF">
      <w:pPr>
        <w:spacing w:line="276"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t xml:space="preserve">Para el caso de las jóvenes entre 15 y 19 años, la tasa de fecundidad muestra cifras superiores a 70 nacimientos por cada 1000 mujeres en dicho grupo de edad en </w:t>
      </w:r>
      <w:r w:rsidRPr="00650BAF">
        <w:rPr>
          <w:rFonts w:ascii="Bookman Old Style" w:eastAsia="Bookman Old Style" w:hAnsi="Bookman Old Style" w:cs="Bookman Old Style"/>
          <w:sz w:val="24"/>
          <w:szCs w:val="24"/>
        </w:rPr>
        <w:lastRenderedPageBreak/>
        <w:t xml:space="preserve">departamentos como Magdalena, La Guajira, Cesar, Guainía, Caquetá, Bolívar y Sucre, con casos que, para el año 2020, se acercan a 90 nacimientos como sucede en Magdalena y La Guajira. </w:t>
      </w:r>
    </w:p>
    <w:p w:rsidR="00650BAF" w:rsidRPr="00650BAF" w:rsidRDefault="00650BAF" w:rsidP="00650BAF">
      <w:pPr>
        <w:spacing w:line="276" w:lineRule="auto"/>
        <w:jc w:val="both"/>
        <w:rPr>
          <w:rFonts w:ascii="Bookman Old Style" w:eastAsia="Bookman Old Style" w:hAnsi="Bookman Old Style" w:cs="Bookman Old Style"/>
          <w:sz w:val="24"/>
          <w:szCs w:val="24"/>
        </w:rPr>
      </w:pPr>
    </w:p>
    <w:p w:rsidR="00650BAF" w:rsidRDefault="00650BAF" w:rsidP="00650BAF">
      <w:pPr>
        <w:spacing w:line="276" w:lineRule="auto"/>
        <w:jc w:val="both"/>
        <w:rPr>
          <w:rFonts w:ascii="Bookman Old Style" w:eastAsia="Bookman Old Style" w:hAnsi="Bookman Old Style" w:cs="Bookman Old Style"/>
          <w:sz w:val="24"/>
          <w:szCs w:val="24"/>
        </w:rPr>
      </w:pPr>
      <w:r w:rsidRPr="00650BAF">
        <w:rPr>
          <w:rFonts w:ascii="Bookman Old Style" w:eastAsia="Bookman Old Style" w:hAnsi="Bookman Old Style" w:cs="Bookman Old Style"/>
          <w:sz w:val="24"/>
          <w:szCs w:val="24"/>
        </w:rPr>
        <w:t>Para tener una referencia, datos publicados por el Banco Mundial</w:t>
      </w:r>
      <w:r w:rsidRPr="00650BAF">
        <w:rPr>
          <w:rStyle w:val="Refdenotaalpie"/>
          <w:rFonts w:ascii="Bookman Old Style" w:eastAsia="Bookman Old Style" w:hAnsi="Bookman Old Style"/>
          <w:sz w:val="24"/>
          <w:szCs w:val="24"/>
        </w:rPr>
        <w:footnoteReference w:id="3"/>
      </w:r>
      <w:r w:rsidRPr="00650BAF">
        <w:rPr>
          <w:rFonts w:ascii="Bookman Old Style" w:eastAsia="Bookman Old Style" w:hAnsi="Bookman Old Style" w:cs="Bookman Old Style"/>
          <w:sz w:val="24"/>
          <w:szCs w:val="24"/>
        </w:rPr>
        <w:t xml:space="preserve"> mostraron que la tasa de fecundidad en adolescentes entre los 15 y 19 años para el año 2020 se ubicó en 41. </w:t>
      </w:r>
    </w:p>
    <w:p w:rsidR="005D4760" w:rsidRPr="00650BAF" w:rsidRDefault="005D4760" w:rsidP="00650BAF">
      <w:pPr>
        <w:spacing w:line="276" w:lineRule="auto"/>
        <w:jc w:val="both"/>
        <w:rPr>
          <w:rFonts w:ascii="Bookman Old Style" w:eastAsia="Bookman Old Style" w:hAnsi="Bookman Old Style" w:cs="Bookman Old Style"/>
          <w:sz w:val="24"/>
          <w:szCs w:val="24"/>
        </w:rPr>
      </w:pPr>
    </w:p>
    <w:p w:rsidR="00650BAF" w:rsidRDefault="00650BAF" w:rsidP="00650BAF">
      <w:pPr>
        <w:jc w:val="both"/>
        <w:rPr>
          <w:rFonts w:ascii="Bookman Old Style" w:eastAsia="Bookman Old Style" w:hAnsi="Bookman Old Style" w:cs="Bookman Old Style"/>
        </w:rPr>
      </w:pPr>
      <w:r>
        <w:rPr>
          <w:noProof/>
          <w:lang w:bidi="ar-SA"/>
        </w:rPr>
        <w:drawing>
          <wp:inline distT="0" distB="0" distL="0" distR="0" wp14:anchorId="10C7405E" wp14:editId="46FD122A">
            <wp:extent cx="5657850" cy="5139214"/>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210" t="23848" r="29056" b="10344"/>
                    <a:stretch/>
                  </pic:blipFill>
                  <pic:spPr bwMode="auto">
                    <a:xfrm>
                      <a:off x="0" y="0"/>
                      <a:ext cx="5670789" cy="5150967"/>
                    </a:xfrm>
                    <a:prstGeom prst="rect">
                      <a:avLst/>
                    </a:prstGeom>
                    <a:ln>
                      <a:noFill/>
                    </a:ln>
                    <a:extLst>
                      <a:ext uri="{53640926-AAD7-44D8-BBD7-CCE9431645EC}">
                        <a14:shadowObscured xmlns:a14="http://schemas.microsoft.com/office/drawing/2010/main"/>
                      </a:ext>
                    </a:extLst>
                  </pic:spPr>
                </pic:pic>
              </a:graphicData>
            </a:graphic>
          </wp:inline>
        </w:drawing>
      </w:r>
    </w:p>
    <w:p w:rsidR="00650BAF" w:rsidRPr="00650BAF" w:rsidRDefault="00650BAF" w:rsidP="00650BAF">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650BAF">
        <w:rPr>
          <w:rFonts w:ascii="Bookman Old Style" w:eastAsia="Bookman Old Style" w:hAnsi="Bookman Old Style" w:cs="Bookman Old Style"/>
          <w:sz w:val="24"/>
        </w:rPr>
        <w:t>La universidad Javeriana realizó un interesante estudio</w:t>
      </w:r>
      <w:r w:rsidRPr="00650BAF">
        <w:rPr>
          <w:rStyle w:val="Refdenotaalpie"/>
          <w:rFonts w:ascii="Bookman Old Style" w:eastAsia="Bookman Old Style" w:hAnsi="Bookman Old Style"/>
          <w:sz w:val="24"/>
        </w:rPr>
        <w:footnoteReference w:id="4"/>
      </w:r>
      <w:r w:rsidRPr="00650BAF">
        <w:rPr>
          <w:rFonts w:ascii="Bookman Old Style" w:eastAsia="Bookman Old Style" w:hAnsi="Bookman Old Style" w:cs="Bookman Old Style"/>
          <w:sz w:val="24"/>
        </w:rPr>
        <w:t xml:space="preserve"> del número de nacimientos de niñas entre los 10 y 14 años ocurridos entre los meses de enero y julio del año 2022, utilizando para ello cifras del DANE. El estudio muestra que </w:t>
      </w:r>
      <w:r w:rsidRPr="00650BAF">
        <w:rPr>
          <w:rFonts w:ascii="Bookman Old Style" w:eastAsia="Bookman Old Style" w:hAnsi="Bookman Old Style" w:cs="Bookman Old Style"/>
          <w:sz w:val="24"/>
        </w:rPr>
        <w:lastRenderedPageBreak/>
        <w:t>Antioquia es el departamento con mayor número de nacimientos en niñas entre los 10 a 14 años, pues agrupa a cerca del 11,8% de los nacimientos (284). A este le siguen Bolívar con el 8,2% (199 nacimientos) y Córdoba con el 5,7% (138 nacimientos).</w:t>
      </w:r>
    </w:p>
    <w:p w:rsidR="00650BAF" w:rsidRPr="0098553D" w:rsidRDefault="00650BAF" w:rsidP="00650BAF">
      <w:pPr>
        <w:pBdr>
          <w:top w:val="nil"/>
          <w:left w:val="nil"/>
          <w:bottom w:val="nil"/>
          <w:right w:val="nil"/>
          <w:between w:val="nil"/>
        </w:pBdr>
        <w:spacing w:before="280" w:after="280"/>
        <w:jc w:val="center"/>
        <w:rPr>
          <w:rFonts w:ascii="Bookman Old Style" w:eastAsia="Bookman Old Style" w:hAnsi="Bookman Old Style" w:cs="Bookman Old Style"/>
        </w:rPr>
      </w:pPr>
      <w:r>
        <w:rPr>
          <w:noProof/>
          <w:lang w:bidi="ar-SA"/>
        </w:rPr>
        <w:drawing>
          <wp:inline distT="0" distB="0" distL="0" distR="0" wp14:anchorId="75AEC20D" wp14:editId="4C576309">
            <wp:extent cx="5158740" cy="2276475"/>
            <wp:effectExtent l="0" t="0" r="381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848" t="36828" r="13612" b="29060"/>
                    <a:stretch/>
                  </pic:blipFill>
                  <pic:spPr bwMode="auto">
                    <a:xfrm>
                      <a:off x="0" y="0"/>
                      <a:ext cx="5195669" cy="2292771"/>
                    </a:xfrm>
                    <a:prstGeom prst="rect">
                      <a:avLst/>
                    </a:prstGeom>
                    <a:ln>
                      <a:noFill/>
                    </a:ln>
                    <a:extLst>
                      <a:ext uri="{53640926-AAD7-44D8-BBD7-CCE9431645EC}">
                        <a14:shadowObscured xmlns:a14="http://schemas.microsoft.com/office/drawing/2010/main"/>
                      </a:ext>
                    </a:extLst>
                  </pic:spPr>
                </pic:pic>
              </a:graphicData>
            </a:graphic>
          </wp:inline>
        </w:drawing>
      </w:r>
    </w:p>
    <w:p w:rsidR="00650BAF" w:rsidRPr="00650BAF" w:rsidRDefault="00650BAF" w:rsidP="00895D79">
      <w:pPr>
        <w:jc w:val="both"/>
        <w:rPr>
          <w:rFonts w:ascii="Bookman Old Style" w:eastAsia="Bookman Old Style" w:hAnsi="Bookman Old Style" w:cs="Bookman Old Style"/>
          <w:b/>
          <w:color w:val="000000"/>
          <w:sz w:val="24"/>
          <w:szCs w:val="24"/>
        </w:rPr>
      </w:pPr>
      <w:r>
        <w:rPr>
          <w:rFonts w:ascii="Bookman Old Style" w:eastAsia="Bookman Old Style" w:hAnsi="Bookman Old Style" w:cs="Bookman Old Style"/>
          <w:b/>
          <w:color w:val="000000"/>
          <w:sz w:val="24"/>
          <w:szCs w:val="24"/>
        </w:rPr>
        <w:t>IV.I. EDAD PROMEDIO DEL PADRE</w:t>
      </w:r>
    </w:p>
    <w:p w:rsidR="00650BAF" w:rsidRPr="00650BAF" w:rsidRDefault="00650BAF" w:rsidP="00650BAF">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650BAF">
        <w:rPr>
          <w:rFonts w:ascii="Bookman Old Style" w:eastAsia="Bookman Old Style" w:hAnsi="Bookman Old Style" w:cs="Bookman Old Style"/>
          <w:sz w:val="24"/>
        </w:rPr>
        <w:t>La legislación nacional vigente establece como delito el cometer actos sexuales con un menor de 14 años. No obstante, las cifras que hasta aquí hemos venido conociendo nos muestran que miles de niñas menores de esa edad tienen bebés cada año en Colombia, lo que nos lleva a preguntarnos ¿Cuál es la edad de los padres?</w:t>
      </w:r>
    </w:p>
    <w:p w:rsidR="00650BAF" w:rsidRPr="00650BAF" w:rsidRDefault="00650BAF" w:rsidP="00650BAF">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650BAF">
        <w:rPr>
          <w:rFonts w:ascii="Bookman Old Style" w:eastAsia="Bookman Old Style" w:hAnsi="Bookman Old Style" w:cs="Bookman Old Style"/>
          <w:sz w:val="24"/>
        </w:rPr>
        <w:t>Pues bien, en el año 2014 el gobierno de la época, con la intención de prevenir el embarazo adolescente, lanzó un programa concurso al que denominó “únete a la PEA” por las siglas que traduce Prevención de Embarazo Adolescente y en el que participó el Ministerio de las TIC, el Ministerio de Salud, el Ministerio de Educación, el ICBF y el SENA.  El concurso se dirigió a jóvenes de todo el país con edades entre 12 y 24 años y consistió en desarrollar un video de un minuto de duración en el que compartían sus opiniones, experiencias e inquietudes alrededor de tres categorías: “</w:t>
      </w:r>
      <w:proofErr w:type="spellStart"/>
      <w:r w:rsidRPr="00650BAF">
        <w:rPr>
          <w:rFonts w:ascii="Bookman Old Style" w:eastAsia="Bookman Old Style" w:hAnsi="Bookman Old Style" w:cs="Bookman Old Style"/>
          <w:sz w:val="24"/>
        </w:rPr>
        <w:t>Tumbamitos</w:t>
      </w:r>
      <w:proofErr w:type="spellEnd"/>
      <w:r w:rsidRPr="00650BAF">
        <w:rPr>
          <w:rFonts w:ascii="Bookman Old Style" w:eastAsia="Bookman Old Style" w:hAnsi="Bookman Old Style" w:cs="Bookman Old Style"/>
          <w:sz w:val="24"/>
        </w:rPr>
        <w:t>” (absurdas creencias sobre la sexualidad), “</w:t>
      </w:r>
      <w:proofErr w:type="spellStart"/>
      <w:r w:rsidRPr="00650BAF">
        <w:rPr>
          <w:rFonts w:ascii="Bookman Old Style" w:eastAsia="Bookman Old Style" w:hAnsi="Bookman Old Style" w:cs="Bookman Old Style"/>
          <w:sz w:val="24"/>
        </w:rPr>
        <w:t>Sexafíos</w:t>
      </w:r>
      <w:proofErr w:type="spellEnd"/>
      <w:r w:rsidRPr="00650BAF">
        <w:rPr>
          <w:rFonts w:ascii="Bookman Old Style" w:eastAsia="Bookman Old Style" w:hAnsi="Bookman Old Style" w:cs="Bookman Old Style"/>
          <w:sz w:val="24"/>
        </w:rPr>
        <w:t>” (retos sobre la prevención del embarazo adolescente) y “</w:t>
      </w:r>
      <w:proofErr w:type="spellStart"/>
      <w:r w:rsidRPr="00650BAF">
        <w:rPr>
          <w:rFonts w:ascii="Bookman Old Style" w:eastAsia="Bookman Old Style" w:hAnsi="Bookman Old Style" w:cs="Bookman Old Style"/>
          <w:sz w:val="24"/>
        </w:rPr>
        <w:t>Sextorias</w:t>
      </w:r>
      <w:proofErr w:type="spellEnd"/>
      <w:r w:rsidRPr="00650BAF">
        <w:rPr>
          <w:rFonts w:ascii="Bookman Old Style" w:eastAsia="Bookman Old Style" w:hAnsi="Bookman Old Style" w:cs="Bookman Old Style"/>
          <w:sz w:val="24"/>
        </w:rPr>
        <w:t>” (historias dibujadas y comentadas sobre la sexualidad).</w:t>
      </w:r>
    </w:p>
    <w:p w:rsidR="00650BAF" w:rsidRPr="00650BAF" w:rsidRDefault="00650BAF" w:rsidP="00650BAF">
      <w:pPr>
        <w:pBdr>
          <w:top w:val="nil"/>
          <w:left w:val="nil"/>
          <w:bottom w:val="nil"/>
          <w:right w:val="nil"/>
          <w:between w:val="nil"/>
        </w:pBdr>
        <w:spacing w:before="280" w:after="280" w:line="276" w:lineRule="auto"/>
        <w:jc w:val="both"/>
        <w:rPr>
          <w:rFonts w:ascii="Bookman Old Style" w:eastAsia="Bookman Old Style" w:hAnsi="Bookman Old Style" w:cs="Bookman Old Style"/>
          <w:b/>
          <w:sz w:val="24"/>
          <w:u w:val="single"/>
        </w:rPr>
      </w:pPr>
      <w:r w:rsidRPr="00650BAF">
        <w:rPr>
          <w:rFonts w:ascii="Bookman Old Style" w:eastAsia="Bookman Old Style" w:hAnsi="Bookman Old Style" w:cs="Bookman Old Style"/>
          <w:sz w:val="24"/>
        </w:rPr>
        <w:t xml:space="preserve">Del mencionado programa se pudieron extraer unos datos interesantes avalados por el DANE como el que afirma que, para le época, los adolescentes no tenían hijos con otros adolescentes. Sólo el 0.8 % de los adolescentes tenían relaciones </w:t>
      </w:r>
      <w:r w:rsidRPr="00650BAF">
        <w:rPr>
          <w:rFonts w:ascii="Bookman Old Style" w:eastAsia="Bookman Old Style" w:hAnsi="Bookman Old Style" w:cs="Bookman Old Style"/>
          <w:sz w:val="24"/>
        </w:rPr>
        <w:lastRenderedPageBreak/>
        <w:t xml:space="preserve">con otros adolescentes. </w:t>
      </w:r>
      <w:r w:rsidRPr="00650BAF">
        <w:rPr>
          <w:rFonts w:ascii="Bookman Old Style" w:eastAsia="Bookman Old Style" w:hAnsi="Bookman Old Style" w:cs="Bookman Old Style"/>
          <w:b/>
          <w:sz w:val="24"/>
          <w:u w:val="single"/>
        </w:rPr>
        <w:t>El restante, 99.2%, tienen hijos con adultos.</w:t>
      </w:r>
    </w:p>
    <w:p w:rsidR="00650BAF" w:rsidRPr="00650BAF" w:rsidRDefault="00650BAF" w:rsidP="00650BAF">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650BAF">
        <w:rPr>
          <w:rFonts w:ascii="Bookman Old Style" w:eastAsia="Bookman Old Style" w:hAnsi="Bookman Old Style" w:cs="Bookman Old Style"/>
          <w:sz w:val="24"/>
        </w:rPr>
        <w:t xml:space="preserve">Ahora bien, según el DANE (2022), en el 2021 la edad promedio de los padres de los bebés nacidos vivos de madres con edades entre los 10 y 14 años es de 20,7 años y de 23,4 años para el caso de las madres entre los 15 y los 19 años, mostrando un aumento de 0,3 años en comparación con el 2020. </w:t>
      </w:r>
    </w:p>
    <w:p w:rsidR="00650BAF" w:rsidRPr="00650BAF" w:rsidRDefault="00650BAF" w:rsidP="00650BAF">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650BAF">
        <w:rPr>
          <w:rFonts w:ascii="Bookman Old Style" w:eastAsia="Bookman Old Style" w:hAnsi="Bookman Old Style" w:cs="Bookman Old Style"/>
          <w:sz w:val="24"/>
        </w:rPr>
        <w:t>Pero unas cifras del DANE (2022) que preocupan aún más es la que nos muestra que en el año 2021, del total de nacimientos en madres de 10 a 14 años, el 6,9% fue producto de una relación con un hombre de más de 30 años. Para el caso de las jóvenes entre 15 y 19 años ese porcentaje sube a casi el 12%.</w:t>
      </w:r>
    </w:p>
    <w:p w:rsidR="00650BAF" w:rsidRPr="00650BAF" w:rsidRDefault="00650BAF" w:rsidP="00650BAF">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650BAF">
        <w:rPr>
          <w:rFonts w:ascii="Bookman Old Style" w:eastAsia="Bookman Old Style" w:hAnsi="Bookman Old Style" w:cs="Bookman Old Style"/>
          <w:sz w:val="24"/>
        </w:rPr>
        <w:t>Lo anterior evidencia que las grandes diferencias de edad pueden estar ligadas a relaciones de poder desfavorables para las niñas y adolescentes madres o abuso y violencia sexual.</w:t>
      </w:r>
    </w:p>
    <w:p w:rsidR="00650BAF" w:rsidRPr="00650BAF" w:rsidRDefault="00650BAF" w:rsidP="00650BAF">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650BAF">
        <w:rPr>
          <w:rFonts w:ascii="Bookman Old Style" w:eastAsia="Bookman Old Style" w:hAnsi="Bookman Old Style" w:cs="Bookman Old Style"/>
          <w:sz w:val="24"/>
        </w:rPr>
        <w:t>Pero ¿Qué pasa con los mayores de edad que acceden carnalmente a una menor de catorce años? Pues bien, al consultar con la Subdirección de Políticas Públicas y Estrategias institucionales de la Fiscalía General de la Nación, encontramos que el número de procesos ingresados a dicha entidad para el año 2021 llegó a 7.280 casos, 8.569 para el año 2021 y 9.057 para el año 2022, para un total de 24.906 casos en los últimos 3 años, presentándose un aumento entre una y otra vigencia.</w:t>
      </w:r>
    </w:p>
    <w:p w:rsidR="00650BAF" w:rsidRPr="00650BAF" w:rsidRDefault="00650BAF" w:rsidP="00650BAF">
      <w:pPr>
        <w:widowControl/>
        <w:pBdr>
          <w:top w:val="nil"/>
          <w:left w:val="nil"/>
          <w:bottom w:val="nil"/>
          <w:right w:val="nil"/>
          <w:between w:val="nil"/>
        </w:pBdr>
        <w:autoSpaceDE/>
        <w:autoSpaceDN/>
        <w:spacing w:before="280" w:after="280" w:line="259" w:lineRule="auto"/>
        <w:jc w:val="both"/>
        <w:rPr>
          <w:rFonts w:ascii="Bookman Old Style" w:eastAsia="Bookman Old Style" w:hAnsi="Bookman Old Style" w:cs="Bookman Old Style"/>
          <w:b/>
          <w:sz w:val="24"/>
          <w:szCs w:val="24"/>
        </w:rPr>
      </w:pPr>
      <w:r w:rsidRPr="00650BAF">
        <w:rPr>
          <w:rFonts w:ascii="Bookman Old Style" w:eastAsia="Bookman Old Style" w:hAnsi="Bookman Old Style" w:cs="Bookman Old Style"/>
          <w:b/>
          <w:color w:val="000000"/>
          <w:sz w:val="24"/>
          <w:szCs w:val="24"/>
        </w:rPr>
        <w:t>IV.II</w:t>
      </w:r>
      <w:r>
        <w:rPr>
          <w:rFonts w:ascii="Bookman Old Style" w:eastAsia="Bookman Old Style" w:hAnsi="Bookman Old Style" w:cs="Bookman Old Style"/>
          <w:b/>
          <w:color w:val="000000"/>
          <w:sz w:val="24"/>
          <w:szCs w:val="24"/>
        </w:rPr>
        <w:t>.</w:t>
      </w:r>
      <w:r w:rsidRPr="00650BAF">
        <w:rPr>
          <w:rFonts w:ascii="Bookman Old Style" w:eastAsia="Bookman Old Style" w:hAnsi="Bookman Old Style" w:cs="Bookman Old Style"/>
          <w:b/>
          <w:color w:val="000000"/>
          <w:sz w:val="24"/>
          <w:szCs w:val="24"/>
        </w:rPr>
        <w:t xml:space="preserve"> </w:t>
      </w:r>
      <w:r w:rsidRPr="00650BAF">
        <w:rPr>
          <w:rFonts w:ascii="Bookman Old Style" w:eastAsia="Bookman Old Style" w:hAnsi="Bookman Old Style" w:cs="Bookman Old Style"/>
          <w:b/>
          <w:sz w:val="24"/>
          <w:szCs w:val="24"/>
        </w:rPr>
        <w:t>CONSECUENCIAS DE LA ACTIVIDAD SEXUAL TEMPRANA</w:t>
      </w:r>
    </w:p>
    <w:p w:rsidR="00650BAF" w:rsidRPr="00650BAF" w:rsidRDefault="00650BAF" w:rsidP="00650BAF">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650BAF">
        <w:rPr>
          <w:rFonts w:ascii="Bookman Old Style" w:eastAsia="Bookman Old Style" w:hAnsi="Bookman Old Style" w:cs="Bookman Old Style"/>
          <w:sz w:val="24"/>
        </w:rPr>
        <w:t>Los diferentes estudios, publicaciones e investigaciones sobre el tema coinciden en que la actividad sexual temprana representa un problema de salud pública por las mismas consecuencias que conlleva (embarazo adolescente, aumento de enfermedades de transmisión sexual, problemas familiares, retrasos en los procesos de formación y educación, y otros problemas sociales y económicos que se pueden generar).</w:t>
      </w:r>
    </w:p>
    <w:p w:rsidR="00650BAF" w:rsidRPr="00650BAF" w:rsidRDefault="00650BAF" w:rsidP="00650BAF">
      <w:pPr>
        <w:pBdr>
          <w:top w:val="nil"/>
          <w:left w:val="nil"/>
          <w:bottom w:val="nil"/>
          <w:right w:val="nil"/>
          <w:between w:val="nil"/>
        </w:pBdr>
        <w:spacing w:before="280" w:after="280" w:line="276" w:lineRule="auto"/>
        <w:jc w:val="both"/>
        <w:rPr>
          <w:rFonts w:ascii="Bookman Old Style" w:eastAsia="Bookman Old Style" w:hAnsi="Bookman Old Style" w:cs="Bookman Old Style"/>
          <w:i/>
          <w:sz w:val="24"/>
        </w:rPr>
      </w:pPr>
      <w:r w:rsidRPr="00650BAF">
        <w:rPr>
          <w:rFonts w:ascii="Bookman Old Style" w:eastAsia="Bookman Old Style" w:hAnsi="Bookman Old Style" w:cs="Bookman Old Style"/>
          <w:sz w:val="24"/>
        </w:rPr>
        <w:t xml:space="preserve">La revista chilena de obstetricia y ginecología (versión on-line ISSN0717-7526 del 2016) publicó un artículo relacionado con la actividad sexual temprana y el embarazo en la adolescencia, concluyendo, entre otras cosas, que </w:t>
      </w:r>
      <w:r w:rsidRPr="00650BAF">
        <w:rPr>
          <w:rFonts w:ascii="Bookman Old Style" w:eastAsia="Bookman Old Style" w:hAnsi="Bookman Old Style" w:cs="Bookman Old Style"/>
          <w:i/>
          <w:sz w:val="24"/>
        </w:rPr>
        <w:t>la educación sexual en el hogar, escuelas, colegios y servicios de salud, unido a la estimulación de habilidades para la vida, el retraso del inicio de la actividad sexual entre adolescente, la promoción de la abstinencia sexual y las prevención del embarazo y las infecciones de transmisión sexual, son una las estrategias más eficaces para enfrentar estas problemáticas.</w:t>
      </w:r>
    </w:p>
    <w:p w:rsidR="00650BAF" w:rsidRPr="00650BAF" w:rsidRDefault="00650BAF" w:rsidP="00650BAF">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650BAF">
        <w:rPr>
          <w:rFonts w:ascii="Bookman Old Style" w:eastAsia="Bookman Old Style" w:hAnsi="Bookman Old Style" w:cs="Bookman Old Style"/>
          <w:sz w:val="24"/>
        </w:rPr>
        <w:lastRenderedPageBreak/>
        <w:t>Claramente aspectos biológicos como la inmadurez ginecológica o la inmadurez anatómica de la pelvis aumentan el riesgo en el embarazo en adolescentes. Cifras muestran que el 15% de los abortos en el mundo ocurren en mujeres entre los 15 y los 19 años.</w:t>
      </w:r>
    </w:p>
    <w:p w:rsidR="00650BAF" w:rsidRPr="00650BAF" w:rsidRDefault="00650BAF" w:rsidP="00650BAF">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650BAF">
        <w:rPr>
          <w:rFonts w:ascii="Bookman Old Style" w:eastAsia="Bookman Old Style" w:hAnsi="Bookman Old Style" w:cs="Bookman Old Style"/>
          <w:sz w:val="24"/>
        </w:rPr>
        <w:t>Las adolescentes se encuentran más desfavorecidas en el mantenimiento de un embarazo saludable, debido a un nivel de educación para la salud más pobre, falta de acceso a la atención prenatal, del parto u otro servicio de salud. A ello hay que sumarle los problemas económicos del embarazo y el parto. Un embarazo en una adolescente, puede contribuir a la dificultad para terminar la educación, aislamiento social, falta de apoyo familiar, oportunidades de empleo más pobres, perpetuación, feminización de la pobreza y transmisión intergeneracional de la pobreza consecuente. Esta confluencia de factores de riesgos intrínsecos y extrínsecos que las adolescentes embarazadas experimentan, pueden aumentar el riesgo de mortalidad y morbilidad grave durante el embarazo, el parto y el puerperio.</w:t>
      </w:r>
    </w:p>
    <w:p w:rsidR="00650BAF" w:rsidRPr="00650BAF" w:rsidRDefault="00650BAF" w:rsidP="00650BAF">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650BAF">
        <w:rPr>
          <w:rFonts w:ascii="Bookman Old Style" w:eastAsia="Bookman Old Style" w:hAnsi="Bookman Old Style" w:cs="Bookman Old Style"/>
          <w:sz w:val="24"/>
        </w:rPr>
        <w:t>Cifras publicadas por el Ministerio de Salud muestran que entre el 20 y el 45% de adolescentes que dejan de asistir a la escuela, lo hacen en razón a su paternidad o maternidad, con lo que se favorecen los círculos de la pobreza, dado que los embarazos tempranos no deseados en ausencia de redes sociales de apoyo, dificultan las oportunidades de desarrollo personal y el fortalecimiento de capacidades, limitan el acceso a oportunidades económicas y sociales e inciden en forma negativa sobre la conformación de hogares entre parejas sin suficiente autonomía e independencia económica para asumir la responsabilidad derivada y el fortalecimiento individual y familiar.</w:t>
      </w:r>
    </w:p>
    <w:p w:rsidR="00650BAF" w:rsidRPr="00650BAF" w:rsidRDefault="00650BAF" w:rsidP="00650BAF">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650BAF">
        <w:rPr>
          <w:rFonts w:ascii="Bookman Old Style" w:eastAsia="Bookman Old Style" w:hAnsi="Bookman Old Style" w:cs="Bookman Old Style"/>
          <w:sz w:val="24"/>
        </w:rPr>
        <w:t>Preocupa aún más cuando el Ministerio de Salud afirma que el 55% de adolescentes que han sido madres no tiene ningún nivel de educación; el 46% apenas tiene primaria, frente a menores porcentajes cuando el nivel educativo es mayor como en secundaria 18 % y educación superior 11 %.</w:t>
      </w:r>
    </w:p>
    <w:p w:rsidR="00650BAF" w:rsidRPr="00650BAF" w:rsidRDefault="00650BAF" w:rsidP="00650BAF">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650BAF">
        <w:rPr>
          <w:rFonts w:ascii="Bookman Old Style" w:eastAsia="Bookman Old Style" w:hAnsi="Bookman Old Style" w:cs="Bookman Old Style"/>
          <w:sz w:val="24"/>
        </w:rPr>
        <w:t xml:space="preserve">Es claro que el inicio de la vida sexual en edades tempranas y el embarazo adolescente es una </w:t>
      </w:r>
      <w:proofErr w:type="spellStart"/>
      <w:r w:rsidRPr="00650BAF">
        <w:rPr>
          <w:rFonts w:ascii="Bookman Old Style" w:eastAsia="Bookman Old Style" w:hAnsi="Bookman Old Style" w:cs="Bookman Old Style"/>
          <w:sz w:val="24"/>
        </w:rPr>
        <w:t>pontencializador</w:t>
      </w:r>
      <w:proofErr w:type="spellEnd"/>
      <w:r w:rsidRPr="00650BAF">
        <w:rPr>
          <w:rFonts w:ascii="Bookman Old Style" w:eastAsia="Bookman Old Style" w:hAnsi="Bookman Old Style" w:cs="Bookman Old Style"/>
          <w:sz w:val="24"/>
        </w:rPr>
        <w:t xml:space="preserve"> de la pobreza, de la falta de oportunidades ante la disminución de las posibilidades de educación, de la deserción escolar, del número de abortos, de problemas familiares y sociales, entre un numero importantes de problemas que repercuten directamente en la vida propia de la menor que se embaraza, de su hijo, de su familia y el de la sociedad.   </w:t>
      </w:r>
    </w:p>
    <w:p w:rsidR="00650BAF" w:rsidRPr="008071C1" w:rsidRDefault="00650BAF" w:rsidP="00650BAF">
      <w:pPr>
        <w:widowControl/>
        <w:pBdr>
          <w:top w:val="nil"/>
          <w:left w:val="nil"/>
          <w:bottom w:val="nil"/>
          <w:right w:val="nil"/>
          <w:between w:val="nil"/>
        </w:pBdr>
        <w:autoSpaceDE/>
        <w:autoSpaceDN/>
        <w:spacing w:before="280" w:after="280" w:line="276" w:lineRule="auto"/>
        <w:jc w:val="both"/>
        <w:rPr>
          <w:rFonts w:ascii="Bookman Old Style" w:eastAsia="Bookman Old Style" w:hAnsi="Bookman Old Style" w:cs="Bookman Old Style"/>
          <w:sz w:val="24"/>
        </w:rPr>
      </w:pPr>
      <w:r w:rsidRPr="00650BAF">
        <w:rPr>
          <w:rFonts w:ascii="Bookman Old Style" w:eastAsia="Bookman Old Style" w:hAnsi="Bookman Old Style" w:cs="Bookman Old Style"/>
          <w:b/>
        </w:rPr>
        <w:lastRenderedPageBreak/>
        <w:t xml:space="preserve">IV.III. </w:t>
      </w:r>
      <w:r w:rsidRPr="008071C1">
        <w:rPr>
          <w:rFonts w:ascii="Bookman Old Style" w:eastAsia="Bookman Old Style" w:hAnsi="Bookman Old Style" w:cs="Bookman Old Style"/>
          <w:b/>
          <w:sz w:val="24"/>
        </w:rPr>
        <w:t>MADUREZ SEXUAL</w:t>
      </w:r>
    </w:p>
    <w:p w:rsidR="00650BAF" w:rsidRPr="008071C1" w:rsidRDefault="00650BAF" w:rsidP="00650BAF">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8071C1">
        <w:rPr>
          <w:rFonts w:ascii="Bookman Old Style" w:eastAsia="Bookman Old Style" w:hAnsi="Bookman Old Style" w:cs="Bookman Old Style"/>
          <w:sz w:val="24"/>
        </w:rPr>
        <w:t>Al estudiar el tema de la madurez sexual encontramos que en él confluyen una serie de conceptos que no podemos mezclar pero que inevitablemente dependen el uno de otro para entender la realidad del desarrollo de los niños, niñas y adolescentes.</w:t>
      </w:r>
    </w:p>
    <w:p w:rsidR="00650BAF" w:rsidRPr="008071C1" w:rsidRDefault="00650BAF" w:rsidP="00650BAF">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8071C1">
        <w:rPr>
          <w:rFonts w:ascii="Bookman Old Style" w:eastAsia="Bookman Old Style" w:hAnsi="Bookman Old Style" w:cs="Bookman Old Style"/>
          <w:sz w:val="24"/>
        </w:rPr>
        <w:t xml:space="preserve">Si hablamos del proceso hormonal, estudios coinciden en afirmar que el mismo inicia en la pubertad e inciden en la maduración en los jóvenes de los caracteres sexuales primarios (genitales) y secundarios (voz, vellos, ovulación, eyaculación, cambios óseos y musculares etc.). Para conocer el ciclo de crecimiento y maduración sexual existe una tabla mayormente aceptada denominada “escalas de </w:t>
      </w:r>
      <w:proofErr w:type="spellStart"/>
      <w:r w:rsidRPr="008071C1">
        <w:rPr>
          <w:rFonts w:ascii="Bookman Old Style" w:eastAsia="Bookman Old Style" w:hAnsi="Bookman Old Style" w:cs="Bookman Old Style"/>
          <w:sz w:val="24"/>
        </w:rPr>
        <w:t>Tanner</w:t>
      </w:r>
      <w:proofErr w:type="spellEnd"/>
      <w:r w:rsidRPr="008071C1">
        <w:rPr>
          <w:rFonts w:ascii="Bookman Old Style" w:eastAsia="Bookman Old Style" w:hAnsi="Bookman Old Style" w:cs="Bookman Old Style"/>
          <w:sz w:val="24"/>
        </w:rPr>
        <w:t>” para niños y niñas, mostrando dicho ciclo en 5 etapas o estadios, así</w:t>
      </w:r>
      <w:r w:rsidRPr="008071C1">
        <w:rPr>
          <w:rStyle w:val="Refdenotaalpie"/>
          <w:rFonts w:ascii="Bookman Old Style" w:eastAsia="Bookman Old Style" w:hAnsi="Bookman Old Style"/>
          <w:sz w:val="24"/>
        </w:rPr>
        <w:footnoteReference w:id="5"/>
      </w:r>
      <w:r w:rsidRPr="008071C1">
        <w:rPr>
          <w:rFonts w:ascii="Bookman Old Style" w:eastAsia="Bookman Old Style" w:hAnsi="Bookman Old Style" w:cs="Bookman Old Style"/>
          <w:sz w:val="24"/>
        </w:rPr>
        <w:t>:</w:t>
      </w:r>
    </w:p>
    <w:p w:rsidR="00650BAF" w:rsidRDefault="00650BAF" w:rsidP="008071C1">
      <w:pPr>
        <w:pStyle w:val="Sinespaciado"/>
        <w:jc w:val="both"/>
      </w:pPr>
      <w:r w:rsidRPr="008071C1">
        <w:rPr>
          <w:rFonts w:ascii="Bookman Old Style" w:eastAsia="Bookman Old Style" w:hAnsi="Bookman Old Style" w:cs="Bookman Old Style"/>
          <w:szCs w:val="24"/>
        </w:rPr>
        <w:t>Desarrollo en niñas</w:t>
      </w:r>
      <w:r>
        <w:tab/>
      </w:r>
      <w:r>
        <w:tab/>
      </w:r>
    </w:p>
    <w:p w:rsidR="00650BAF" w:rsidRDefault="00650BAF" w:rsidP="00650BAF">
      <w:pPr>
        <w:pStyle w:val="Sinespaciado"/>
        <w:jc w:val="center"/>
        <w:rPr>
          <w:rFonts w:ascii="Bookman Old Style" w:eastAsia="Bookman Old Style" w:hAnsi="Bookman Old Style" w:cs="Bookman Old Style"/>
        </w:rPr>
      </w:pPr>
      <w:r>
        <w:rPr>
          <w:noProof/>
          <w:lang w:bidi="ar-SA"/>
        </w:rPr>
        <w:drawing>
          <wp:inline distT="0" distB="0" distL="0" distR="0" wp14:anchorId="2B8E9C6F" wp14:editId="1914077F">
            <wp:extent cx="2949934" cy="1822835"/>
            <wp:effectExtent l="0" t="0" r="3175"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380" t="40133" r="33639" b="20338"/>
                    <a:stretch/>
                  </pic:blipFill>
                  <pic:spPr bwMode="auto">
                    <a:xfrm>
                      <a:off x="0" y="0"/>
                      <a:ext cx="2994964" cy="1850660"/>
                    </a:xfrm>
                    <a:prstGeom prst="rect">
                      <a:avLst/>
                    </a:prstGeom>
                    <a:ln>
                      <a:noFill/>
                    </a:ln>
                    <a:extLst>
                      <a:ext uri="{53640926-AAD7-44D8-BBD7-CCE9431645EC}">
                        <a14:shadowObscured xmlns:a14="http://schemas.microsoft.com/office/drawing/2010/main"/>
                      </a:ext>
                    </a:extLst>
                  </pic:spPr>
                </pic:pic>
              </a:graphicData>
            </a:graphic>
          </wp:inline>
        </w:drawing>
      </w:r>
    </w:p>
    <w:p w:rsidR="009B6EA0" w:rsidRDefault="009B6EA0" w:rsidP="008071C1">
      <w:pPr>
        <w:pStyle w:val="Sinespaciado"/>
        <w:jc w:val="both"/>
        <w:rPr>
          <w:rFonts w:ascii="Bookman Old Style" w:eastAsia="Bookman Old Style" w:hAnsi="Bookman Old Style" w:cs="Bookman Old Style"/>
        </w:rPr>
      </w:pPr>
    </w:p>
    <w:p w:rsidR="00650BAF" w:rsidRDefault="00650BAF" w:rsidP="008071C1">
      <w:pPr>
        <w:pStyle w:val="Sinespaciado"/>
        <w:jc w:val="both"/>
        <w:rPr>
          <w:rFonts w:ascii="Bookman Old Style" w:eastAsia="Bookman Old Style" w:hAnsi="Bookman Old Style" w:cs="Bookman Old Style"/>
        </w:rPr>
      </w:pPr>
      <w:r>
        <w:rPr>
          <w:rFonts w:ascii="Bookman Old Style" w:eastAsia="Bookman Old Style" w:hAnsi="Bookman Old Style" w:cs="Bookman Old Style"/>
        </w:rPr>
        <w:t>Desarrollo en niños</w:t>
      </w:r>
    </w:p>
    <w:p w:rsidR="00650BAF" w:rsidRDefault="00650BAF" w:rsidP="00650BAF">
      <w:pPr>
        <w:pStyle w:val="Sinespaciado"/>
        <w:jc w:val="center"/>
        <w:rPr>
          <w:rFonts w:ascii="Bookman Old Style" w:eastAsia="Bookman Old Style" w:hAnsi="Bookman Old Style" w:cs="Bookman Old Style"/>
        </w:rPr>
      </w:pPr>
      <w:r>
        <w:rPr>
          <w:noProof/>
          <w:lang w:bidi="ar-SA"/>
        </w:rPr>
        <w:drawing>
          <wp:inline distT="0" distB="0" distL="0" distR="0" wp14:anchorId="30705D51" wp14:editId="61B8BF85">
            <wp:extent cx="3411110" cy="2303379"/>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247" t="29572" r="34827" b="30899"/>
                    <a:stretch/>
                  </pic:blipFill>
                  <pic:spPr bwMode="auto">
                    <a:xfrm>
                      <a:off x="0" y="0"/>
                      <a:ext cx="3448623" cy="2328710"/>
                    </a:xfrm>
                    <a:prstGeom prst="rect">
                      <a:avLst/>
                    </a:prstGeom>
                    <a:ln>
                      <a:noFill/>
                    </a:ln>
                    <a:extLst>
                      <a:ext uri="{53640926-AAD7-44D8-BBD7-CCE9431645EC}">
                        <a14:shadowObscured xmlns:a14="http://schemas.microsoft.com/office/drawing/2010/main"/>
                      </a:ext>
                    </a:extLst>
                  </pic:spPr>
                </pic:pic>
              </a:graphicData>
            </a:graphic>
          </wp:inline>
        </w:drawing>
      </w:r>
    </w:p>
    <w:p w:rsidR="00650BAF" w:rsidRDefault="00650BAF" w:rsidP="00650BAF">
      <w:pPr>
        <w:pStyle w:val="Sinespaciado"/>
        <w:rPr>
          <w:rFonts w:ascii="Bookman Old Style" w:eastAsia="Bookman Old Style" w:hAnsi="Bookman Old Style" w:cs="Bookman Old Style"/>
        </w:rPr>
      </w:pPr>
    </w:p>
    <w:p w:rsidR="00650BAF" w:rsidRPr="008071C1" w:rsidRDefault="00650BAF" w:rsidP="00650BAF">
      <w:pPr>
        <w:jc w:val="both"/>
        <w:rPr>
          <w:rFonts w:ascii="Bookman Old Style" w:hAnsi="Bookman Old Style"/>
          <w:sz w:val="24"/>
        </w:rPr>
      </w:pPr>
      <w:r w:rsidRPr="008071C1">
        <w:rPr>
          <w:rFonts w:ascii="Bookman Old Style" w:hAnsi="Bookman Old Style"/>
          <w:sz w:val="24"/>
        </w:rPr>
        <w:lastRenderedPageBreak/>
        <w:t>Lo cierto es que el proceso de desarrollo, a pesar de que se puedan presentar variaciones, casos de precocidad o retardos y depender de varios factores externos y genéticos, se mueve entre los 9 y los 18 años con transiciones diferentes entre hombres y mujeres.</w:t>
      </w:r>
    </w:p>
    <w:p w:rsidR="00650BAF" w:rsidRPr="008071C1" w:rsidRDefault="00650BAF" w:rsidP="00650BAF">
      <w:pPr>
        <w:jc w:val="both"/>
        <w:rPr>
          <w:rFonts w:ascii="Bookman Old Style" w:hAnsi="Bookman Old Style"/>
          <w:sz w:val="24"/>
        </w:rPr>
      </w:pPr>
    </w:p>
    <w:p w:rsidR="00650BAF" w:rsidRPr="008071C1" w:rsidRDefault="00650BAF" w:rsidP="00650BAF">
      <w:pPr>
        <w:jc w:val="both"/>
        <w:rPr>
          <w:rFonts w:ascii="Bookman Old Style" w:hAnsi="Bookman Old Style"/>
          <w:i/>
          <w:sz w:val="24"/>
        </w:rPr>
      </w:pPr>
      <w:r w:rsidRPr="008071C1">
        <w:rPr>
          <w:rFonts w:ascii="Bookman Old Style" w:hAnsi="Bookman Old Style"/>
          <w:sz w:val="24"/>
        </w:rPr>
        <w:t xml:space="preserve">Ahora bien, la universidad de Navarra concluyó en un artículo denominado </w:t>
      </w:r>
      <w:r w:rsidRPr="008071C1">
        <w:rPr>
          <w:rFonts w:ascii="Bookman Old Style" w:hAnsi="Bookman Old Style"/>
          <w:i/>
          <w:sz w:val="24"/>
        </w:rPr>
        <w:t xml:space="preserve">¿Cuándo se alcanza la madurez sexual?, </w:t>
      </w:r>
      <w:r w:rsidRPr="008071C1">
        <w:rPr>
          <w:rFonts w:ascii="Bookman Old Style" w:hAnsi="Bookman Old Style"/>
          <w:sz w:val="24"/>
        </w:rPr>
        <w:t>que no hay que confundir la madurez biológica (desarrollo de órganos sexuales y producción de gametos) </w:t>
      </w:r>
      <w:r w:rsidRPr="008071C1">
        <w:rPr>
          <w:rFonts w:ascii="Bookman Old Style" w:hAnsi="Bookman Old Style"/>
          <w:bCs/>
          <w:i/>
          <w:sz w:val="24"/>
        </w:rPr>
        <w:t>con la madurez para tener relaciones sexuales, </w:t>
      </w:r>
      <w:r w:rsidRPr="008071C1">
        <w:rPr>
          <w:rFonts w:ascii="Bookman Old Style" w:hAnsi="Bookman Old Style"/>
          <w:i/>
          <w:sz w:val="24"/>
        </w:rPr>
        <w:t xml:space="preserve">que depende también de la madurez afectiva y psicológica. </w:t>
      </w:r>
      <w:r w:rsidRPr="008071C1">
        <w:rPr>
          <w:rFonts w:ascii="Bookman Old Style" w:hAnsi="Bookman Old Style"/>
          <w:sz w:val="24"/>
        </w:rPr>
        <w:t>Esta afirmación se basa en que</w:t>
      </w:r>
      <w:r w:rsidRPr="008071C1">
        <w:rPr>
          <w:rFonts w:ascii="Bookman Old Style" w:hAnsi="Bookman Old Style"/>
          <w:i/>
          <w:sz w:val="24"/>
        </w:rPr>
        <w:t xml:space="preserve"> las personas que tienen relaciones sexuales deberían poder asumir también las posibles </w:t>
      </w:r>
      <w:r w:rsidRPr="008071C1">
        <w:rPr>
          <w:rFonts w:ascii="Bookman Old Style" w:hAnsi="Bookman Old Style"/>
          <w:bCs/>
          <w:i/>
          <w:sz w:val="24"/>
        </w:rPr>
        <w:t>consecuencias negativas </w:t>
      </w:r>
      <w:r w:rsidRPr="008071C1">
        <w:rPr>
          <w:rFonts w:ascii="Bookman Old Style" w:hAnsi="Bookman Old Style"/>
          <w:i/>
          <w:sz w:val="24"/>
        </w:rPr>
        <w:t xml:space="preserve">de dichas relaciones (embarazos, infecciones de transmisión sexual, el consumo de anticonceptivos con efectos secundarios y fallos, la paternidad y maternidad precoz, los desengaños o las decepciones amorosas, las dependencias afectivas, etc.). </w:t>
      </w:r>
      <w:r w:rsidRPr="008071C1">
        <w:rPr>
          <w:rFonts w:ascii="Bookman Old Style" w:hAnsi="Bookman Old Style"/>
          <w:sz w:val="24"/>
        </w:rPr>
        <w:t>Continúa la Universidad afirmando que</w:t>
      </w:r>
      <w:r w:rsidRPr="008071C1">
        <w:rPr>
          <w:rFonts w:ascii="Bookman Old Style" w:hAnsi="Bookman Old Style"/>
          <w:i/>
          <w:sz w:val="24"/>
        </w:rPr>
        <w:t xml:space="preserve"> Sería una ingenuidad afirmar que la madurez sexual se consigue una vez que son biológicamente posibles las relaciones sexuales</w:t>
      </w:r>
      <w:r w:rsidRPr="008071C1">
        <w:rPr>
          <w:rStyle w:val="Refdenotaalpie"/>
          <w:rFonts w:ascii="Bookman Old Style" w:hAnsi="Bookman Old Style"/>
          <w:i/>
          <w:sz w:val="24"/>
        </w:rPr>
        <w:footnoteReference w:id="6"/>
      </w:r>
      <w:r w:rsidRPr="008071C1">
        <w:rPr>
          <w:rFonts w:ascii="Bookman Old Style" w:hAnsi="Bookman Old Style"/>
          <w:i/>
          <w:sz w:val="24"/>
        </w:rPr>
        <w:t>.</w:t>
      </w:r>
    </w:p>
    <w:p w:rsidR="008071C1" w:rsidRPr="008071C1" w:rsidRDefault="008071C1" w:rsidP="008071C1">
      <w:pPr>
        <w:pStyle w:val="Prrafodelista"/>
        <w:widowControl/>
        <w:numPr>
          <w:ilvl w:val="0"/>
          <w:numId w:val="3"/>
        </w:numPr>
        <w:pBdr>
          <w:top w:val="nil"/>
          <w:left w:val="nil"/>
          <w:bottom w:val="nil"/>
          <w:right w:val="nil"/>
          <w:between w:val="nil"/>
        </w:pBdr>
        <w:autoSpaceDE/>
        <w:autoSpaceDN/>
        <w:spacing w:before="280" w:after="280" w:line="259" w:lineRule="auto"/>
        <w:jc w:val="both"/>
        <w:rPr>
          <w:rFonts w:ascii="Bookman Old Style" w:eastAsia="Bookman Old Style" w:hAnsi="Bookman Old Style" w:cs="Bookman Old Style"/>
          <w:b/>
        </w:rPr>
      </w:pPr>
      <w:r w:rsidRPr="008071C1">
        <w:rPr>
          <w:rFonts w:ascii="Bookman Old Style" w:eastAsia="Bookman Old Style" w:hAnsi="Bookman Old Style" w:cs="Bookman Old Style"/>
          <w:b/>
        </w:rPr>
        <w:t>LEGISLACIÓN COMPARADA</w:t>
      </w:r>
    </w:p>
    <w:p w:rsidR="008071C1" w:rsidRPr="008071C1" w:rsidRDefault="008071C1" w:rsidP="008071C1">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8071C1">
        <w:rPr>
          <w:rFonts w:ascii="Bookman Old Style" w:eastAsia="Bookman Old Style" w:hAnsi="Bookman Old Style" w:cs="Bookman Old Style"/>
          <w:sz w:val="24"/>
        </w:rPr>
        <w:t xml:space="preserve">El tema de elevar la edad para el consentimiento sexual no es un tema novedoso. En el año 1885 en el Reino Unido se vivieron campañas lideradas por organizaciones de mujeres en las cuales solicitaban elevar la edad para dicho consentimiento a los 16 años, como quedó establecida. </w:t>
      </w:r>
    </w:p>
    <w:p w:rsidR="008071C1" w:rsidRPr="008071C1" w:rsidRDefault="008071C1" w:rsidP="008071C1">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8071C1">
        <w:rPr>
          <w:rFonts w:ascii="Bookman Old Style" w:eastAsia="Bookman Old Style" w:hAnsi="Bookman Old Style" w:cs="Bookman Old Style"/>
          <w:sz w:val="24"/>
        </w:rPr>
        <w:t>En el siglo XIX la edad del consentimiento sexual se establecía entre los 12 y los 13 años. Sin embargo, con el paso de los tiempos, la llegada de la modernidad y la separación de la etapa de la infancia con la vida adulta, se observaron avances en cuanto a la protección de los derechos de la infancia, sin que se dejaran de ver las diferencias entre países que establecían, en la década del 90, en 12 la edad para el consentimiento sexual, frente a 18 años que establecía, por ejemplo, Turquía</w:t>
      </w:r>
      <w:r w:rsidRPr="008071C1">
        <w:rPr>
          <w:rStyle w:val="Refdenotaalpie"/>
          <w:rFonts w:ascii="Bookman Old Style" w:eastAsia="Bookman Old Style" w:hAnsi="Bookman Old Style"/>
          <w:sz w:val="24"/>
        </w:rPr>
        <w:footnoteReference w:id="7"/>
      </w:r>
      <w:r w:rsidRPr="008071C1">
        <w:rPr>
          <w:rFonts w:ascii="Bookman Old Style" w:eastAsia="Bookman Old Style" w:hAnsi="Bookman Old Style" w:cs="Bookman Old Style"/>
          <w:sz w:val="24"/>
        </w:rPr>
        <w:t>.</w:t>
      </w:r>
    </w:p>
    <w:p w:rsidR="008071C1" w:rsidRPr="008071C1" w:rsidRDefault="008071C1" w:rsidP="008071C1">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8071C1">
        <w:rPr>
          <w:rFonts w:ascii="Bookman Old Style" w:eastAsia="Bookman Old Style" w:hAnsi="Bookman Old Style" w:cs="Bookman Old Style"/>
          <w:sz w:val="24"/>
        </w:rPr>
        <w:t xml:space="preserve">Un estudio comparativo (2019) realizado por la Universidad de </w:t>
      </w:r>
      <w:proofErr w:type="spellStart"/>
      <w:r w:rsidRPr="008071C1">
        <w:rPr>
          <w:rFonts w:ascii="Bookman Old Style" w:eastAsia="Bookman Old Style" w:hAnsi="Bookman Old Style" w:cs="Bookman Old Style"/>
          <w:sz w:val="24"/>
        </w:rPr>
        <w:t>Tilburg</w:t>
      </w:r>
      <w:proofErr w:type="spellEnd"/>
      <w:r w:rsidRPr="008071C1">
        <w:rPr>
          <w:rFonts w:ascii="Bookman Old Style" w:eastAsia="Bookman Old Style" w:hAnsi="Bookman Old Style" w:cs="Bookman Old Style"/>
          <w:sz w:val="24"/>
        </w:rPr>
        <w:t>, Países Bajos, demostró que en la actualidad ningún país europeo tiene por debajo de los 14 años la edad para el consentimiento sexual.</w:t>
      </w:r>
    </w:p>
    <w:p w:rsidR="008071C1" w:rsidRPr="008071C1" w:rsidRDefault="008071C1" w:rsidP="008071C1">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8071C1">
        <w:rPr>
          <w:rFonts w:ascii="Bookman Old Style" w:eastAsia="Bookman Old Style" w:hAnsi="Bookman Old Style" w:cs="Bookman Old Style"/>
          <w:sz w:val="24"/>
        </w:rPr>
        <w:t xml:space="preserve">En el caso de países de Europa, hace algunos años España elevó de 13 a 16 años la edad para el consentimiento sexual. Francia lo elevó a 15 años, al igual que Polonia Dinamarca y Suecia. Irlanda y Chipre la han establecido en 17 y países </w:t>
      </w:r>
      <w:r w:rsidRPr="008071C1">
        <w:rPr>
          <w:rFonts w:ascii="Bookman Old Style" w:eastAsia="Bookman Old Style" w:hAnsi="Bookman Old Style" w:cs="Bookman Old Style"/>
          <w:sz w:val="24"/>
        </w:rPr>
        <w:lastRenderedPageBreak/>
        <w:t>como Malta en 18 años. Alemania, Italia o Portugal, establecen la edad para el mencionado consentimiento en 14 años.</w:t>
      </w:r>
    </w:p>
    <w:p w:rsidR="008071C1" w:rsidRPr="008071C1" w:rsidRDefault="008071C1" w:rsidP="008071C1">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8071C1">
        <w:rPr>
          <w:rFonts w:ascii="Bookman Old Style" w:eastAsia="Bookman Old Style" w:hAnsi="Bookman Old Style" w:cs="Bookman Old Style"/>
          <w:sz w:val="24"/>
        </w:rPr>
        <w:t>A finales del año 2022, Japón evaluaba la posibilidad de elevar la edad para el consentimiento sexual a los 16 años, modificando la norma actual que lo establece en 13 años. Lo anterior se debió a una de las recomendaciones del Consejo Legislativo, órgano asesor del Ministerio de Justicia nipón. La recomendación incluye una excepción cuando se trate de otro menor con la misma edad o en un rango cercano.</w:t>
      </w:r>
    </w:p>
    <w:p w:rsidR="008071C1" w:rsidRPr="008071C1" w:rsidRDefault="008071C1" w:rsidP="008071C1">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8071C1">
        <w:rPr>
          <w:rFonts w:ascii="Bookman Old Style" w:eastAsia="Bookman Old Style" w:hAnsi="Bookman Old Style" w:cs="Bookman Old Style"/>
          <w:sz w:val="24"/>
        </w:rPr>
        <w:t>En el mes de septiembre del año 2021, Filipinas decidió aumentar la edad para el estudiado consentimiento de 12 a 16 años.</w:t>
      </w:r>
    </w:p>
    <w:p w:rsidR="008071C1" w:rsidRDefault="008071C1" w:rsidP="008071C1">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8071C1">
        <w:rPr>
          <w:rFonts w:ascii="Bookman Old Style" w:eastAsia="Bookman Old Style" w:hAnsi="Bookman Old Style" w:cs="Bookman Old Style"/>
          <w:sz w:val="24"/>
        </w:rPr>
        <w:t>Revisando la norma de los Estados de este lado del mundo, observamos que 14 años es la edad más común para el consentimiento sexual. No obstante, países como Haití establece el consentimiento sexual en 18 años, Cuba, Puerto Rico, Venezuela y Nicaragua en 16, El Salvador y Honduras en 15 años. Para el caso de México, al ser federado, se observan estados con diferentes edades para el consentimiento sexual, las cuales van desde los 12 hasta los 15 años.</w:t>
      </w:r>
    </w:p>
    <w:p w:rsidR="008071C1" w:rsidRPr="008071C1" w:rsidRDefault="008071C1" w:rsidP="008071C1">
      <w:pPr>
        <w:pStyle w:val="Prrafodelista"/>
        <w:numPr>
          <w:ilvl w:val="0"/>
          <w:numId w:val="3"/>
        </w:numPr>
        <w:pBdr>
          <w:top w:val="nil"/>
          <w:left w:val="nil"/>
          <w:bottom w:val="nil"/>
          <w:right w:val="nil"/>
          <w:between w:val="nil"/>
        </w:pBdr>
        <w:spacing w:before="280" w:after="280" w:line="276" w:lineRule="auto"/>
        <w:jc w:val="both"/>
        <w:rPr>
          <w:rFonts w:ascii="Bookman Old Style" w:eastAsia="Bookman Old Style" w:hAnsi="Bookman Old Style" w:cs="Bookman Old Style"/>
          <w:b/>
          <w:sz w:val="28"/>
        </w:rPr>
      </w:pPr>
      <w:r w:rsidRPr="008071C1">
        <w:rPr>
          <w:rFonts w:ascii="Bookman Old Style" w:eastAsia="Bookman Old Style" w:hAnsi="Bookman Old Style" w:cs="Bookman Old Style"/>
          <w:b/>
          <w:sz w:val="24"/>
          <w:u w:val="single"/>
        </w:rPr>
        <w:t>MATRIMONIO DE MENORES DE EDAD EN COLOMBIA</w:t>
      </w:r>
    </w:p>
    <w:p w:rsidR="008071C1" w:rsidRPr="008071C1" w:rsidRDefault="008071C1" w:rsidP="008071C1">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8071C1">
        <w:rPr>
          <w:rFonts w:ascii="Bookman Old Style" w:eastAsia="Bookman Old Style" w:hAnsi="Bookman Old Style" w:cs="Bookman Old Style"/>
          <w:sz w:val="24"/>
        </w:rPr>
        <w:t>Según un informe publicado por la BBC del año 2017, más de 700 millones de mujeres en el mundo se casaron antes de cumplir 18 años y 280 millones están en peligro de convertirse en novias prematuras (Unicef 2017).</w:t>
      </w:r>
    </w:p>
    <w:p w:rsidR="008071C1" w:rsidRPr="008071C1" w:rsidRDefault="008071C1" w:rsidP="008071C1">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8071C1">
        <w:rPr>
          <w:rFonts w:ascii="Bookman Old Style" w:eastAsia="Bookman Old Style" w:hAnsi="Bookman Old Style" w:cs="Bookman Old Style"/>
          <w:sz w:val="24"/>
        </w:rPr>
        <w:t>Un estudio de la alianza mundial para terminar con el matrimonio infantil denominada “</w:t>
      </w:r>
      <w:proofErr w:type="spellStart"/>
      <w:r w:rsidRPr="008071C1">
        <w:rPr>
          <w:rFonts w:ascii="Bookman Old Style" w:eastAsia="Bookman Old Style" w:hAnsi="Bookman Old Style" w:cs="Bookman Old Style"/>
          <w:sz w:val="24"/>
        </w:rPr>
        <w:t>Girls</w:t>
      </w:r>
      <w:proofErr w:type="spellEnd"/>
      <w:r w:rsidRPr="008071C1">
        <w:rPr>
          <w:rFonts w:ascii="Bookman Old Style" w:eastAsia="Bookman Old Style" w:hAnsi="Bookman Old Style" w:cs="Bookman Old Style"/>
          <w:sz w:val="24"/>
        </w:rPr>
        <w:t xml:space="preserve"> </w:t>
      </w:r>
      <w:proofErr w:type="spellStart"/>
      <w:r w:rsidRPr="008071C1">
        <w:rPr>
          <w:rFonts w:ascii="Bookman Old Style" w:eastAsia="Bookman Old Style" w:hAnsi="Bookman Old Style" w:cs="Bookman Old Style"/>
          <w:sz w:val="24"/>
        </w:rPr>
        <w:t>Not</w:t>
      </w:r>
      <w:proofErr w:type="spellEnd"/>
      <w:r w:rsidRPr="008071C1">
        <w:rPr>
          <w:rFonts w:ascii="Bookman Old Style" w:eastAsia="Bookman Old Style" w:hAnsi="Bookman Old Style" w:cs="Bookman Old Style"/>
          <w:sz w:val="24"/>
        </w:rPr>
        <w:t xml:space="preserve"> Brides”, concluyó que, de 197 países en el mundo analizados, 60 (30,5%) no tienen definida una edad mínima para contraer matrimonio, 90 países (45,7%) tiene una edad establecida inferior a 18 años y, 33 países (16,8%) establecen un mínimo de 18 años para contraer matrimonio.</w:t>
      </w:r>
    </w:p>
    <w:p w:rsidR="008071C1" w:rsidRPr="008071C1" w:rsidRDefault="008071C1" w:rsidP="008071C1">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8071C1">
        <w:rPr>
          <w:rFonts w:ascii="Bookman Old Style" w:eastAsia="Bookman Old Style" w:hAnsi="Bookman Old Style" w:cs="Bookman Old Style"/>
          <w:sz w:val="24"/>
        </w:rPr>
        <w:t>Para el caso de América Latina, Unicef afirma que el 24% de las mujeres que actualmente tienen entre 20 y 24 años se casaron antes de cumplir los 18 años de edad.</w:t>
      </w:r>
    </w:p>
    <w:p w:rsidR="008071C1" w:rsidRPr="008071C1" w:rsidRDefault="008071C1" w:rsidP="008071C1">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8071C1">
        <w:rPr>
          <w:rFonts w:ascii="Bookman Old Style" w:eastAsia="Bookman Old Style" w:hAnsi="Bookman Old Style" w:cs="Bookman Old Style"/>
          <w:sz w:val="24"/>
        </w:rPr>
        <w:t xml:space="preserve">Según el último informe de la Unicef sobre la situación de los matrimonios infantiles y uniones temporales tempranas en Colombia 2010-2020, para el año 2018 alrededor de 340.000 niñas y adolescentes, es decir, el 8,6% del total de esta población del país, estaban casadas o en uniones temporales. En otras palabras, </w:t>
      </w:r>
      <w:r w:rsidRPr="008071C1">
        <w:rPr>
          <w:rFonts w:ascii="Bookman Old Style" w:eastAsia="Bookman Old Style" w:hAnsi="Bookman Old Style" w:cs="Bookman Old Style"/>
          <w:sz w:val="24"/>
        </w:rPr>
        <w:lastRenderedPageBreak/>
        <w:t>el 23% de las mujeres entre 20 y 24 años estaban casadas o en unión temporal antes de la mayoría de edad, y el 5% antes de cumplir 15 años.</w:t>
      </w:r>
    </w:p>
    <w:p w:rsidR="008071C1" w:rsidRPr="008071C1" w:rsidRDefault="008071C1" w:rsidP="008071C1">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8071C1">
        <w:rPr>
          <w:rFonts w:ascii="Bookman Old Style" w:eastAsia="Bookman Old Style" w:hAnsi="Bookman Old Style" w:cs="Bookman Old Style"/>
          <w:sz w:val="24"/>
        </w:rPr>
        <w:t>Por otro lado, la fundación PLAN informó a través del observatorio “Contando lo invisible”, con base en el censo del año 2018, que en el país existen 46.915 matrimonios y uniones maritales de hecho que involucran a menores entre los 10 y los 14 años (54% son niñas y 46% niños).</w:t>
      </w:r>
    </w:p>
    <w:p w:rsidR="008071C1" w:rsidRPr="008071C1" w:rsidRDefault="008071C1" w:rsidP="008071C1">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8071C1">
        <w:rPr>
          <w:rFonts w:ascii="Bookman Old Style" w:eastAsia="Bookman Old Style" w:hAnsi="Bookman Old Style" w:cs="Bookman Old Style"/>
          <w:sz w:val="24"/>
        </w:rPr>
        <w:t>Las anteriores cifras muestran una preocupante situación para la niñez y la adolescencia colombiana con la venia del artículo 117 de un Código Civil de 1887. La coincidencia de los estudios que registran estas cifras y analizan su impacto en la sociedad indica que estamos frente a un obstáculo en la formación y desarrollo de las nuevas generaciones, el cual se agrava con varios aspectos adicionales como la diferencia de edad con la pareja en el matrimonio o unión temprana, embarazos, violencia, falta de educación y de oportunidades laborales.</w:t>
      </w:r>
    </w:p>
    <w:p w:rsidR="008071C1" w:rsidRPr="008071C1" w:rsidRDefault="008071C1" w:rsidP="008071C1">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8071C1">
        <w:rPr>
          <w:rFonts w:ascii="Bookman Old Style" w:eastAsia="Bookman Old Style" w:hAnsi="Bookman Old Style" w:cs="Bookman Old Style"/>
          <w:sz w:val="24"/>
        </w:rPr>
        <w:t xml:space="preserve">A través de la sentencia C-507 de 2004 la Corte Constitucional reconoció las implicaciones del matrimonio en temprana edad sobre la salud y la educación de las niñas y adolescentes, afirmando, entre otras cosas, que “El matrimonio precoz suele obligar a los menores a abandonar sus estudios; bien sea porque se asumen de manera individual o compartida labores domésticas y de cuidado de los hijos, bien sea porque se trabaja para poder sostener los gastos económicos de la familia”. </w:t>
      </w:r>
    </w:p>
    <w:p w:rsidR="008071C1" w:rsidRPr="008071C1" w:rsidRDefault="008071C1" w:rsidP="008071C1">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8071C1">
        <w:rPr>
          <w:rFonts w:ascii="Bookman Old Style" w:eastAsia="Bookman Old Style" w:hAnsi="Bookman Old Style" w:cs="Bookman Old Style"/>
          <w:sz w:val="24"/>
        </w:rPr>
        <w:t>En la misma sentencia estudió los impactos negativos en la salud de niñas y de sus futuros hijos/as que nacen en el marco de los matrimonios y/o uniones tempranas. Esta discusión llevó hacer ajustes al Código Civil, donde nivela la edad mínima para contraer matrimonio en Colombia a los 14 años tanto para niños como para niñas adolescentes, con la excepción del permiso de sus padres legítimos y/o naturales.</w:t>
      </w:r>
    </w:p>
    <w:p w:rsidR="008071C1" w:rsidRPr="008071C1" w:rsidRDefault="008071C1" w:rsidP="008071C1">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8071C1">
        <w:rPr>
          <w:rFonts w:ascii="Bookman Old Style" w:eastAsia="Bookman Old Style" w:hAnsi="Bookman Old Style" w:cs="Bookman Old Style"/>
          <w:sz w:val="24"/>
        </w:rPr>
        <w:t>Son varios los proyectos que se han hundido en su trámite con los que se propuso regular o eliminar esta práctica. Algunos de ellos, los más recientes, son el proyecto 006 de 2015, con el cual se prohibía el matrimonio con menores de 18 años; el 050 de 2017 insistió con dicha prohibición; el 078 de 2019 que, a diferencia de los dos anteriores, no prohibía la práctica, pero proponía la realización de un examen psicológico previo al menor, como evento previo y requisito necesario para llevar a cabo el matrimonio. Ninguno de ellos culminó sus debates necesarios para ser Ley de la República.</w:t>
      </w:r>
    </w:p>
    <w:p w:rsidR="00650BAF" w:rsidRDefault="008071C1" w:rsidP="008071C1">
      <w:pPr>
        <w:pStyle w:val="Prrafodelista"/>
        <w:numPr>
          <w:ilvl w:val="0"/>
          <w:numId w:val="3"/>
        </w:numPr>
        <w:jc w:val="both"/>
        <w:rPr>
          <w:rFonts w:ascii="Bookman Old Style" w:eastAsia="Bookman Old Style" w:hAnsi="Bookman Old Style" w:cs="Bookman Old Style"/>
          <w:b/>
          <w:color w:val="000000"/>
          <w:sz w:val="24"/>
          <w:szCs w:val="24"/>
        </w:rPr>
      </w:pPr>
      <w:r>
        <w:rPr>
          <w:rFonts w:ascii="Bookman Old Style" w:eastAsia="Bookman Old Style" w:hAnsi="Bookman Old Style" w:cs="Bookman Old Style"/>
          <w:b/>
          <w:color w:val="000000"/>
          <w:sz w:val="24"/>
          <w:szCs w:val="24"/>
        </w:rPr>
        <w:lastRenderedPageBreak/>
        <w:t>CONCEPTOS</w:t>
      </w:r>
    </w:p>
    <w:p w:rsidR="008071C1" w:rsidRDefault="008071C1" w:rsidP="008071C1">
      <w:pPr>
        <w:jc w:val="both"/>
        <w:rPr>
          <w:rFonts w:ascii="Bookman Old Style" w:eastAsia="Bookman Old Style" w:hAnsi="Bookman Old Style" w:cs="Bookman Old Style"/>
          <w:b/>
          <w:color w:val="000000"/>
          <w:sz w:val="24"/>
          <w:szCs w:val="24"/>
        </w:rPr>
      </w:pPr>
    </w:p>
    <w:p w:rsidR="008071C1" w:rsidRDefault="008071C1" w:rsidP="008071C1">
      <w:pPr>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A través de documento radicado con No. 2023-EE-277381 el doctor Óscar Sánchez Jaramillo, Viceministro de Educación Prescolar, Básica y Media, radicó ante la Secretaría de la Comisión I Constitucional de la Cámara de Representantes un concepto sobre el proyecto en estudio, destacando del mismo algunos puntos importantes.</w:t>
      </w:r>
    </w:p>
    <w:p w:rsidR="008071C1" w:rsidRDefault="008071C1" w:rsidP="008071C1">
      <w:pPr>
        <w:jc w:val="both"/>
        <w:rPr>
          <w:rFonts w:ascii="Bookman Old Style" w:eastAsia="Bookman Old Style" w:hAnsi="Bookman Old Style" w:cs="Bookman Old Style"/>
          <w:color w:val="000000"/>
          <w:sz w:val="24"/>
          <w:szCs w:val="24"/>
        </w:rPr>
      </w:pPr>
    </w:p>
    <w:p w:rsidR="008071C1" w:rsidRPr="008071C1" w:rsidRDefault="008071C1" w:rsidP="008071C1">
      <w:pPr>
        <w:jc w:val="both"/>
        <w:rPr>
          <w:rFonts w:ascii="Bookman Old Style" w:eastAsia="Bookman Old Style" w:hAnsi="Bookman Old Style" w:cs="Bookman Old Style"/>
          <w:i/>
          <w:color w:val="000000"/>
          <w:sz w:val="24"/>
          <w:szCs w:val="24"/>
        </w:rPr>
      </w:pPr>
      <w:r w:rsidRPr="008071C1">
        <w:rPr>
          <w:rFonts w:ascii="Bookman Old Style" w:eastAsia="Bookman Old Style" w:hAnsi="Bookman Old Style" w:cs="Bookman Old Style"/>
          <w:i/>
          <w:color w:val="000000"/>
          <w:sz w:val="24"/>
          <w:szCs w:val="24"/>
        </w:rPr>
        <w:t xml:space="preserve">Respecto del artículo No. 1, sugiere se realice una precisión de tipo conceptual respecto del término niñez. Lo anterior dado que el artículo sugiere el propósito de modificar la edad mínima en la que un menor de edad puede consentir relaciones sexuales y contraer matrimonio, lo cual implicaría la modificación de la edad para consentir relaciones sexuales de 14 años a 16 años, no </w:t>
      </w:r>
      <w:proofErr w:type="gramStart"/>
      <w:r w:rsidRPr="008071C1">
        <w:rPr>
          <w:rFonts w:ascii="Bookman Old Style" w:eastAsia="Bookman Old Style" w:hAnsi="Bookman Old Style" w:cs="Bookman Old Style"/>
          <w:i/>
          <w:color w:val="000000"/>
          <w:sz w:val="24"/>
          <w:szCs w:val="24"/>
        </w:rPr>
        <w:t>obstante</w:t>
      </w:r>
      <w:proofErr w:type="gramEnd"/>
      <w:r w:rsidRPr="008071C1">
        <w:rPr>
          <w:rFonts w:ascii="Bookman Old Style" w:eastAsia="Bookman Old Style" w:hAnsi="Bookman Old Style" w:cs="Bookman Old Style"/>
          <w:i/>
          <w:color w:val="000000"/>
          <w:sz w:val="24"/>
          <w:szCs w:val="24"/>
        </w:rPr>
        <w:t xml:space="preserve"> lo anterior, el fin en mención en el contenido del artículo, se justifica como una estrategia de protección de la niñez. Al respecto se sugiere tener en cuenta que de conformidad con lo dispuesto en el artículo 3 de la Ley 1098 de 2006 “por el cual se expide el Código de Infancia y Adolescencia” se entiende por niño o niña las personas entre los 0 y los 12 años, y por adolescente las personas entre 12 y 18 años de edad. Con fundamento en ello, esta cartera comprendería que la protección pretendida con la modificación propuesta no está dirigida solo a la niñez, sino que además comprende la etapa del ciclo vital reconocida como adolescencia.</w:t>
      </w:r>
    </w:p>
    <w:p w:rsidR="008071C1" w:rsidRDefault="008071C1" w:rsidP="00895D79">
      <w:pPr>
        <w:jc w:val="both"/>
        <w:rPr>
          <w:rFonts w:ascii="Bookman Old Style" w:eastAsia="Bookman Old Style" w:hAnsi="Bookman Old Style" w:cs="Bookman Old Style"/>
          <w:color w:val="000000"/>
          <w:sz w:val="24"/>
          <w:szCs w:val="24"/>
        </w:rPr>
      </w:pPr>
    </w:p>
    <w:p w:rsidR="008071C1" w:rsidRDefault="008071C1" w:rsidP="00895D79">
      <w:pPr>
        <w:jc w:val="both"/>
        <w:rPr>
          <w:rFonts w:ascii="Bookman Old Style" w:eastAsia="Bookman Old Style" w:hAnsi="Bookman Old Style" w:cs="Bookman Old Style"/>
          <w:i/>
          <w:color w:val="000000"/>
          <w:sz w:val="24"/>
          <w:szCs w:val="24"/>
        </w:rPr>
      </w:pPr>
      <w:r>
        <w:rPr>
          <w:rFonts w:ascii="Bookman Old Style" w:eastAsia="Bookman Old Style" w:hAnsi="Bookman Old Style" w:cs="Bookman Old Style"/>
          <w:color w:val="000000"/>
          <w:sz w:val="24"/>
          <w:szCs w:val="24"/>
        </w:rPr>
        <w:t>En relación al artículo relacionado con la modificación del artículo 208 del Código Penal, acceso carnal abusivo con menor de 14 años, la cartera ministerial manifiesta que  “</w:t>
      </w:r>
      <w:r w:rsidRPr="008071C1">
        <w:rPr>
          <w:rFonts w:ascii="Bookman Old Style" w:eastAsia="Bookman Old Style" w:hAnsi="Bookman Old Style" w:cs="Bookman Old Style"/>
          <w:i/>
          <w:color w:val="000000"/>
          <w:sz w:val="24"/>
          <w:szCs w:val="24"/>
        </w:rPr>
        <w:t>comparte el propósito y la intención de elevar a 16 años el rango de protección de los menores de edad contra los actos de acceso carnal abusivo y en consonancia con lo señalado, discrepa con la propuesta de eximir de responsabilidad penal cuando quien comete el acto sea una persona mayor de tres (3) años del menor de dieciséis (16) años.</w:t>
      </w:r>
      <w:r>
        <w:rPr>
          <w:rFonts w:ascii="Bookman Old Style" w:eastAsia="Bookman Old Style" w:hAnsi="Bookman Old Style" w:cs="Bookman Old Style"/>
          <w:i/>
          <w:color w:val="000000"/>
          <w:sz w:val="24"/>
          <w:szCs w:val="24"/>
        </w:rPr>
        <w:t>”</w:t>
      </w:r>
    </w:p>
    <w:p w:rsidR="008071C1" w:rsidRDefault="008071C1" w:rsidP="00895D79">
      <w:pPr>
        <w:jc w:val="both"/>
        <w:rPr>
          <w:rFonts w:ascii="Bookman Old Style" w:eastAsia="Bookman Old Style" w:hAnsi="Bookman Old Style" w:cs="Bookman Old Style"/>
          <w:i/>
          <w:color w:val="000000"/>
          <w:sz w:val="24"/>
          <w:szCs w:val="24"/>
        </w:rPr>
      </w:pPr>
    </w:p>
    <w:p w:rsidR="008071C1" w:rsidRDefault="008071C1" w:rsidP="008071C1">
      <w:pPr>
        <w:jc w:val="both"/>
        <w:rPr>
          <w:rFonts w:ascii="Bookman Old Style" w:eastAsia="Bookman Old Style" w:hAnsi="Bookman Old Style" w:cs="Bookman Old Style"/>
          <w:i/>
          <w:color w:val="000000"/>
          <w:sz w:val="24"/>
          <w:szCs w:val="24"/>
        </w:rPr>
      </w:pPr>
      <w:r>
        <w:rPr>
          <w:rFonts w:ascii="Bookman Old Style" w:eastAsia="Bookman Old Style" w:hAnsi="Bookman Old Style" w:cs="Bookman Old Style"/>
          <w:color w:val="000000"/>
          <w:sz w:val="24"/>
          <w:szCs w:val="24"/>
        </w:rPr>
        <w:t>Culmina afirmando que “</w:t>
      </w:r>
      <w:r w:rsidRPr="008071C1">
        <w:rPr>
          <w:rFonts w:ascii="Bookman Old Style" w:eastAsia="Bookman Old Style" w:hAnsi="Bookman Old Style" w:cs="Bookman Old Style"/>
          <w:i/>
          <w:color w:val="000000"/>
          <w:sz w:val="24"/>
          <w:szCs w:val="24"/>
        </w:rPr>
        <w:t>comparte el interés de actuar frente a los matrimonios y uniones tempranas que atentan contra los derechos humanos, sexuales y reproductivos de niños, niñas y adolescentes y penalizar a quienes truncan sus proyectos de vida e inciden en su calidad de vida.</w:t>
      </w:r>
      <w:r>
        <w:rPr>
          <w:rFonts w:ascii="Bookman Old Style" w:eastAsia="Bookman Old Style" w:hAnsi="Bookman Old Style" w:cs="Bookman Old Style"/>
          <w:i/>
          <w:color w:val="000000"/>
          <w:sz w:val="24"/>
          <w:szCs w:val="24"/>
        </w:rPr>
        <w:t>”</w:t>
      </w:r>
    </w:p>
    <w:p w:rsidR="005D43C5" w:rsidRDefault="005D43C5" w:rsidP="008071C1">
      <w:pPr>
        <w:jc w:val="both"/>
        <w:rPr>
          <w:rFonts w:ascii="Bookman Old Style" w:eastAsia="Bookman Old Style" w:hAnsi="Bookman Old Style" w:cs="Bookman Old Style"/>
          <w:i/>
          <w:color w:val="000000"/>
          <w:sz w:val="24"/>
          <w:szCs w:val="24"/>
        </w:rPr>
      </w:pPr>
    </w:p>
    <w:p w:rsidR="005D43C5" w:rsidRDefault="005D43C5" w:rsidP="005D43C5">
      <w:pPr>
        <w:pStyle w:val="Prrafodelista"/>
        <w:numPr>
          <w:ilvl w:val="0"/>
          <w:numId w:val="3"/>
        </w:numPr>
        <w:jc w:val="both"/>
        <w:rPr>
          <w:rFonts w:ascii="Bookman Old Style" w:eastAsia="Bookman Old Style" w:hAnsi="Bookman Old Style" w:cs="Bookman Old Style"/>
          <w:b/>
          <w:color w:val="000000"/>
          <w:sz w:val="24"/>
          <w:szCs w:val="24"/>
        </w:rPr>
      </w:pPr>
      <w:r>
        <w:rPr>
          <w:rFonts w:ascii="Bookman Old Style" w:eastAsia="Bookman Old Style" w:hAnsi="Bookman Old Style" w:cs="Bookman Old Style"/>
          <w:b/>
          <w:color w:val="000000"/>
          <w:sz w:val="24"/>
          <w:szCs w:val="24"/>
        </w:rPr>
        <w:t>PLIEGO DE MODIFICACIONES</w:t>
      </w:r>
    </w:p>
    <w:p w:rsidR="005D43C5" w:rsidRDefault="005D43C5" w:rsidP="005D43C5">
      <w:pPr>
        <w:jc w:val="both"/>
        <w:rPr>
          <w:rFonts w:ascii="Bookman Old Style" w:eastAsia="Bookman Old Style" w:hAnsi="Bookman Old Style" w:cs="Bookman Old Style"/>
          <w:b/>
          <w:color w:val="000000"/>
          <w:sz w:val="24"/>
          <w:szCs w:val="24"/>
        </w:rPr>
      </w:pPr>
    </w:p>
    <w:tbl>
      <w:tblPr>
        <w:tblStyle w:val="Tablaconcuadrcula"/>
        <w:tblW w:w="0" w:type="auto"/>
        <w:tblLook w:val="04A0" w:firstRow="1" w:lastRow="0" w:firstColumn="1" w:lastColumn="0" w:noHBand="0" w:noVBand="1"/>
      </w:tblPr>
      <w:tblGrid>
        <w:gridCol w:w="3189"/>
        <w:gridCol w:w="3191"/>
        <w:gridCol w:w="3190"/>
      </w:tblGrid>
      <w:tr w:rsidR="005D43C5" w:rsidRPr="005D4760" w:rsidTr="005D4760">
        <w:tc>
          <w:tcPr>
            <w:tcW w:w="3189" w:type="dxa"/>
          </w:tcPr>
          <w:p w:rsidR="005D43C5" w:rsidRPr="005D4760" w:rsidRDefault="005D43C5" w:rsidP="005D4760">
            <w:pPr>
              <w:jc w:val="center"/>
              <w:rPr>
                <w:rFonts w:ascii="Bookman Old Style" w:eastAsia="Bookman Old Style" w:hAnsi="Bookman Old Style" w:cs="Bookman Old Style"/>
                <w:b/>
                <w:color w:val="000000"/>
              </w:rPr>
            </w:pPr>
            <w:r w:rsidRPr="005D4760">
              <w:rPr>
                <w:rFonts w:ascii="Bookman Old Style" w:eastAsia="Bookman Old Style" w:hAnsi="Bookman Old Style" w:cs="Bookman Old Style"/>
                <w:b/>
                <w:color w:val="000000"/>
              </w:rPr>
              <w:t>TEXTO ORIGINAL</w:t>
            </w:r>
          </w:p>
        </w:tc>
        <w:tc>
          <w:tcPr>
            <w:tcW w:w="3191" w:type="dxa"/>
          </w:tcPr>
          <w:p w:rsidR="005D43C5" w:rsidRPr="005D4760" w:rsidRDefault="005D43C5" w:rsidP="005D4760">
            <w:pPr>
              <w:jc w:val="center"/>
              <w:rPr>
                <w:rFonts w:ascii="Bookman Old Style" w:eastAsia="Bookman Old Style" w:hAnsi="Bookman Old Style" w:cs="Bookman Old Style"/>
                <w:b/>
                <w:color w:val="000000"/>
              </w:rPr>
            </w:pPr>
            <w:r w:rsidRPr="005D4760">
              <w:rPr>
                <w:rFonts w:ascii="Bookman Old Style" w:eastAsia="Bookman Old Style" w:hAnsi="Bookman Old Style" w:cs="Bookman Old Style"/>
                <w:b/>
                <w:color w:val="000000"/>
              </w:rPr>
              <w:t>TEXTO PROPUESTO</w:t>
            </w:r>
          </w:p>
        </w:tc>
        <w:tc>
          <w:tcPr>
            <w:tcW w:w="3190" w:type="dxa"/>
          </w:tcPr>
          <w:p w:rsidR="005D43C5" w:rsidRPr="005D4760" w:rsidRDefault="005D43C5" w:rsidP="005D4760">
            <w:pPr>
              <w:jc w:val="center"/>
              <w:rPr>
                <w:rFonts w:ascii="Bookman Old Style" w:eastAsia="Bookman Old Style" w:hAnsi="Bookman Old Style" w:cs="Bookman Old Style"/>
                <w:b/>
                <w:color w:val="000000"/>
              </w:rPr>
            </w:pPr>
            <w:r w:rsidRPr="005D4760">
              <w:rPr>
                <w:rFonts w:ascii="Bookman Old Style" w:eastAsia="Bookman Old Style" w:hAnsi="Bookman Old Style" w:cs="Bookman Old Style"/>
                <w:b/>
                <w:color w:val="000000"/>
              </w:rPr>
              <w:t>JUSTIFICACIÓN</w:t>
            </w:r>
          </w:p>
        </w:tc>
      </w:tr>
      <w:tr w:rsidR="005D43C5" w:rsidRPr="005D4760" w:rsidTr="005D4760">
        <w:tc>
          <w:tcPr>
            <w:tcW w:w="3189" w:type="dxa"/>
          </w:tcPr>
          <w:p w:rsidR="005D43C5" w:rsidRPr="005D4760" w:rsidRDefault="005D43C5" w:rsidP="005D4760">
            <w:pPr>
              <w:jc w:val="center"/>
              <w:rPr>
                <w:rFonts w:ascii="Bookman Old Style" w:eastAsia="Bookman Old Style" w:hAnsi="Bookman Old Style" w:cs="Bookman Old Style"/>
                <w:b/>
                <w:color w:val="000000"/>
              </w:rPr>
            </w:pPr>
          </w:p>
          <w:p w:rsidR="005D43C5" w:rsidRPr="005D4760" w:rsidRDefault="005D43C5" w:rsidP="005D4760">
            <w:pPr>
              <w:jc w:val="center"/>
              <w:rPr>
                <w:rFonts w:ascii="Bookman Old Style" w:eastAsia="Bookman Old Style" w:hAnsi="Bookman Old Style" w:cs="Bookman Old Style"/>
                <w:b/>
                <w:color w:val="000000"/>
              </w:rPr>
            </w:pPr>
            <w:r w:rsidRPr="005D4760">
              <w:rPr>
                <w:rFonts w:ascii="Bookman Old Style" w:eastAsia="Bookman Old Style" w:hAnsi="Bookman Old Style" w:cs="Bookman Old Style"/>
                <w:b/>
                <w:color w:val="000000"/>
              </w:rPr>
              <w:t xml:space="preserve">“POR MEDIO DE LA CUAL SE MODIFICA LA EDAD DEL CONSENTIMIENTO SEXUAL PARA MENORES DE EDAD, SE PROTEGE LA LIBERTAD SEXUAL </w:t>
            </w:r>
            <w:r w:rsidRPr="005D4760">
              <w:rPr>
                <w:rFonts w:ascii="Bookman Old Style" w:eastAsia="Bookman Old Style" w:hAnsi="Bookman Old Style" w:cs="Bookman Old Style"/>
                <w:b/>
                <w:color w:val="000000"/>
              </w:rPr>
              <w:lastRenderedPageBreak/>
              <w:t>DE NIÑOS, NIÑAS Y ADOLESCENTES EN COLOMBIA Y SE DICTAN OTRAS DISPOSICIONES”</w:t>
            </w:r>
          </w:p>
        </w:tc>
        <w:tc>
          <w:tcPr>
            <w:tcW w:w="3191" w:type="dxa"/>
          </w:tcPr>
          <w:p w:rsidR="005D43C5" w:rsidRPr="005D4760" w:rsidRDefault="005D43C5" w:rsidP="005D4760">
            <w:pPr>
              <w:jc w:val="center"/>
              <w:rPr>
                <w:rFonts w:ascii="Bookman Old Style" w:eastAsia="Bookman Old Style" w:hAnsi="Bookman Old Style" w:cs="Bookman Old Style"/>
                <w:b/>
                <w:color w:val="000000"/>
              </w:rPr>
            </w:pPr>
          </w:p>
          <w:p w:rsidR="005D43C5" w:rsidRPr="005D4760" w:rsidRDefault="005D43C5" w:rsidP="005D4760">
            <w:pPr>
              <w:jc w:val="center"/>
              <w:rPr>
                <w:rFonts w:ascii="Bookman Old Style" w:eastAsia="Bookman Old Style" w:hAnsi="Bookman Old Style" w:cs="Bookman Old Style"/>
                <w:b/>
                <w:color w:val="000000"/>
              </w:rPr>
            </w:pPr>
            <w:r w:rsidRPr="005D4760">
              <w:rPr>
                <w:rFonts w:ascii="Bookman Old Style" w:eastAsia="Bookman Old Style" w:hAnsi="Bookman Old Style" w:cs="Bookman Old Style"/>
                <w:b/>
                <w:color w:val="000000"/>
              </w:rPr>
              <w:t xml:space="preserve">POR MEDIO DE LA CUAL SE MODIFICA LA EDAD DEL CONSENTIMIENTO SEXUAL PARA MENORES DE EDAD, SE PROTEGE LA LIBERTAD SEXUAL </w:t>
            </w:r>
            <w:r w:rsidRPr="005D4760">
              <w:rPr>
                <w:rFonts w:ascii="Bookman Old Style" w:eastAsia="Bookman Old Style" w:hAnsi="Bookman Old Style" w:cs="Bookman Old Style"/>
                <w:b/>
                <w:color w:val="000000"/>
              </w:rPr>
              <w:lastRenderedPageBreak/>
              <w:t>DE NIÑOS, NIÑAS Y ADOLESCENTES EN COLOMBIA Y SE DICTAN OTRAS DISPOSICIONES”</w:t>
            </w:r>
          </w:p>
          <w:p w:rsidR="005D43C5" w:rsidRPr="005D4760" w:rsidRDefault="005D43C5" w:rsidP="005D4760">
            <w:pPr>
              <w:jc w:val="center"/>
              <w:rPr>
                <w:rFonts w:ascii="Bookman Old Style" w:eastAsia="Bookman Old Style" w:hAnsi="Bookman Old Style" w:cs="Bookman Old Style"/>
                <w:b/>
                <w:color w:val="000000"/>
              </w:rPr>
            </w:pPr>
          </w:p>
        </w:tc>
        <w:tc>
          <w:tcPr>
            <w:tcW w:w="3190" w:type="dxa"/>
          </w:tcPr>
          <w:p w:rsidR="005D43C5" w:rsidRPr="005D4760" w:rsidRDefault="005D43C5" w:rsidP="005D4760">
            <w:pPr>
              <w:jc w:val="both"/>
              <w:rPr>
                <w:rFonts w:ascii="Bookman Old Style" w:eastAsia="Bookman Old Style" w:hAnsi="Bookman Old Style" w:cs="Bookman Old Style"/>
                <w:color w:val="000000"/>
              </w:rPr>
            </w:pPr>
          </w:p>
          <w:p w:rsidR="005D43C5" w:rsidRPr="005D4760" w:rsidRDefault="005D43C5" w:rsidP="005D4760">
            <w:pPr>
              <w:jc w:val="both"/>
              <w:rPr>
                <w:rFonts w:ascii="Bookman Old Style" w:eastAsia="Bookman Old Style" w:hAnsi="Bookman Old Style" w:cs="Bookman Old Style"/>
                <w:color w:val="000000"/>
              </w:rPr>
            </w:pPr>
            <w:r w:rsidRPr="005D4760">
              <w:rPr>
                <w:rFonts w:ascii="Bookman Old Style" w:eastAsia="Bookman Old Style" w:hAnsi="Bookman Old Style" w:cs="Bookman Old Style"/>
                <w:color w:val="000000"/>
              </w:rPr>
              <w:t>Sin cambios</w:t>
            </w:r>
          </w:p>
        </w:tc>
      </w:tr>
      <w:tr w:rsidR="005D43C5" w:rsidRPr="005D4760" w:rsidTr="005D4760">
        <w:tc>
          <w:tcPr>
            <w:tcW w:w="3189" w:type="dxa"/>
          </w:tcPr>
          <w:p w:rsidR="005D43C5" w:rsidRPr="005D4760" w:rsidRDefault="005D43C5" w:rsidP="005D4760">
            <w:pPr>
              <w:jc w:val="both"/>
              <w:rPr>
                <w:rFonts w:ascii="Bookman Old Style" w:eastAsia="Bookman Old Style" w:hAnsi="Bookman Old Style" w:cs="Bookman Old Style"/>
                <w:b/>
                <w:color w:val="000000"/>
              </w:rPr>
            </w:pPr>
          </w:p>
          <w:p w:rsidR="005D43C5" w:rsidRPr="005D4760" w:rsidRDefault="005D43C5" w:rsidP="005D4760">
            <w:pPr>
              <w:jc w:val="both"/>
              <w:rPr>
                <w:rFonts w:ascii="Bookman Old Style" w:eastAsia="Bookman Old Style" w:hAnsi="Bookman Old Style" w:cs="Bookman Old Style"/>
                <w:color w:val="000000"/>
              </w:rPr>
            </w:pPr>
            <w:r w:rsidRPr="005D4760">
              <w:rPr>
                <w:rFonts w:ascii="Bookman Old Style" w:eastAsia="Bookman Old Style" w:hAnsi="Bookman Old Style" w:cs="Bookman Old Style"/>
                <w:b/>
                <w:color w:val="000000"/>
              </w:rPr>
              <w:t xml:space="preserve">Artículo 1°. Objeto. </w:t>
            </w:r>
            <w:r w:rsidRPr="005D4760">
              <w:rPr>
                <w:rFonts w:ascii="Bookman Old Style" w:eastAsia="Bookman Old Style" w:hAnsi="Bookman Old Style" w:cs="Bookman Old Style"/>
                <w:color w:val="000000"/>
              </w:rPr>
              <w:t>La presente Ley tiene por objeto modificar la edad mínima en la que un menor de edad puede consentir relaciones sexuales, como estrategia de protección de la niñez y de disminución de las cifras de embarazo adolescente y sus consecuencias.</w:t>
            </w:r>
          </w:p>
          <w:p w:rsidR="005D43C5" w:rsidRPr="005D4760" w:rsidRDefault="005D43C5" w:rsidP="005D4760">
            <w:pPr>
              <w:jc w:val="both"/>
              <w:rPr>
                <w:rFonts w:ascii="Bookman Old Style" w:eastAsia="Bookman Old Style" w:hAnsi="Bookman Old Style" w:cs="Bookman Old Style"/>
                <w:b/>
                <w:color w:val="000000"/>
              </w:rPr>
            </w:pPr>
          </w:p>
        </w:tc>
        <w:tc>
          <w:tcPr>
            <w:tcW w:w="3191" w:type="dxa"/>
          </w:tcPr>
          <w:p w:rsidR="005D43C5" w:rsidRPr="005D4760" w:rsidRDefault="005D43C5" w:rsidP="005D4760">
            <w:pPr>
              <w:jc w:val="both"/>
              <w:rPr>
                <w:rFonts w:ascii="Bookman Old Style" w:eastAsia="Bookman Old Style" w:hAnsi="Bookman Old Style" w:cs="Bookman Old Style"/>
                <w:b/>
                <w:color w:val="000000"/>
              </w:rPr>
            </w:pPr>
          </w:p>
          <w:p w:rsidR="005D43C5" w:rsidRPr="005D4760" w:rsidRDefault="005D43C5" w:rsidP="005D4760">
            <w:pPr>
              <w:jc w:val="both"/>
              <w:rPr>
                <w:rFonts w:ascii="Bookman Old Style" w:eastAsia="Bookman Old Style" w:hAnsi="Bookman Old Style" w:cs="Bookman Old Style"/>
                <w:color w:val="000000"/>
              </w:rPr>
            </w:pPr>
            <w:r w:rsidRPr="005D4760">
              <w:rPr>
                <w:rFonts w:ascii="Bookman Old Style" w:eastAsia="Bookman Old Style" w:hAnsi="Bookman Old Style" w:cs="Bookman Old Style"/>
                <w:b/>
                <w:color w:val="000000"/>
              </w:rPr>
              <w:t xml:space="preserve">Artículo 1°. Objeto. </w:t>
            </w:r>
            <w:r w:rsidRPr="005D4760">
              <w:rPr>
                <w:rFonts w:ascii="Bookman Old Style" w:eastAsia="Bookman Old Style" w:hAnsi="Bookman Old Style" w:cs="Bookman Old Style"/>
                <w:color w:val="000000"/>
              </w:rPr>
              <w:t xml:space="preserve">La presente Ley tiene por objeto modificar la edad mínima en la que un menor de edad puede consentir relaciones sexuales, como estrategia de protección de </w:t>
            </w:r>
            <w:r w:rsidRPr="005D4760">
              <w:rPr>
                <w:rFonts w:ascii="Bookman Old Style" w:eastAsia="Bookman Old Style" w:hAnsi="Bookman Old Style" w:cs="Bookman Old Style"/>
                <w:strike/>
                <w:color w:val="000000"/>
              </w:rPr>
              <w:t>la niñez</w:t>
            </w:r>
            <w:r w:rsidRPr="005D4760">
              <w:rPr>
                <w:rFonts w:ascii="Bookman Old Style" w:eastAsia="Bookman Old Style" w:hAnsi="Bookman Old Style" w:cs="Bookman Old Style"/>
                <w:color w:val="000000"/>
              </w:rPr>
              <w:t xml:space="preserve"> </w:t>
            </w:r>
            <w:r w:rsidR="00AF2075" w:rsidRPr="005D4760">
              <w:rPr>
                <w:rFonts w:ascii="Bookman Old Style" w:eastAsia="Bookman Old Style" w:hAnsi="Bookman Old Style" w:cs="Bookman Old Style"/>
                <w:color w:val="000000"/>
                <w:u w:val="single"/>
              </w:rPr>
              <w:t>niños niñas y adolescentes,</w:t>
            </w:r>
            <w:r w:rsidR="00AF2075" w:rsidRPr="005D4760">
              <w:rPr>
                <w:rFonts w:ascii="Bookman Old Style" w:eastAsia="Bookman Old Style" w:hAnsi="Bookman Old Style" w:cs="Bookman Old Style"/>
                <w:color w:val="000000"/>
              </w:rPr>
              <w:t xml:space="preserve"> </w:t>
            </w:r>
            <w:r w:rsidRPr="005D4760">
              <w:rPr>
                <w:rFonts w:ascii="Bookman Old Style" w:eastAsia="Bookman Old Style" w:hAnsi="Bookman Old Style" w:cs="Bookman Old Style"/>
                <w:strike/>
                <w:color w:val="000000"/>
              </w:rPr>
              <w:t>y</w:t>
            </w:r>
            <w:r w:rsidRPr="005D4760">
              <w:rPr>
                <w:rFonts w:ascii="Bookman Old Style" w:eastAsia="Bookman Old Style" w:hAnsi="Bookman Old Style" w:cs="Bookman Old Style"/>
                <w:color w:val="000000"/>
              </w:rPr>
              <w:t xml:space="preserve"> de disminución de las cifras de embarazo </w:t>
            </w:r>
            <w:r w:rsidRPr="005D4760">
              <w:rPr>
                <w:rFonts w:ascii="Bookman Old Style" w:eastAsia="Bookman Old Style" w:hAnsi="Bookman Old Style" w:cs="Bookman Old Style"/>
                <w:strike/>
                <w:color w:val="000000"/>
              </w:rPr>
              <w:t>adolescente</w:t>
            </w:r>
            <w:r w:rsidRPr="005D4760">
              <w:rPr>
                <w:rFonts w:ascii="Bookman Old Style" w:eastAsia="Bookman Old Style" w:hAnsi="Bookman Old Style" w:cs="Bookman Old Style"/>
                <w:color w:val="000000"/>
              </w:rPr>
              <w:t xml:space="preserve"> y sus consecuencias.</w:t>
            </w:r>
          </w:p>
          <w:p w:rsidR="005D43C5" w:rsidRPr="005D4760" w:rsidRDefault="005D43C5" w:rsidP="005D4760">
            <w:pPr>
              <w:jc w:val="both"/>
              <w:rPr>
                <w:rFonts w:ascii="Bookman Old Style" w:eastAsia="Bookman Old Style" w:hAnsi="Bookman Old Style" w:cs="Bookman Old Style"/>
                <w:b/>
                <w:color w:val="000000"/>
              </w:rPr>
            </w:pPr>
          </w:p>
        </w:tc>
        <w:tc>
          <w:tcPr>
            <w:tcW w:w="3190" w:type="dxa"/>
          </w:tcPr>
          <w:p w:rsidR="005D43C5" w:rsidRPr="005D4760" w:rsidRDefault="005D43C5" w:rsidP="005D4760">
            <w:pPr>
              <w:jc w:val="both"/>
              <w:rPr>
                <w:rFonts w:ascii="Bookman Old Style" w:eastAsia="Bookman Old Style" w:hAnsi="Bookman Old Style" w:cs="Bookman Old Style"/>
                <w:b/>
                <w:color w:val="000000"/>
              </w:rPr>
            </w:pPr>
          </w:p>
          <w:p w:rsidR="005D43C5" w:rsidRPr="005D4760" w:rsidRDefault="009B6EA0" w:rsidP="005D4760">
            <w:pPr>
              <w:jc w:val="both"/>
              <w:rPr>
                <w:rFonts w:ascii="Bookman Old Style" w:eastAsia="Bookman Old Style" w:hAnsi="Bookman Old Style" w:cs="Bookman Old Style"/>
                <w:color w:val="000000"/>
              </w:rPr>
            </w:pPr>
            <w:r w:rsidRPr="005D4760">
              <w:rPr>
                <w:rFonts w:ascii="Bookman Old Style" w:eastAsia="Bookman Old Style" w:hAnsi="Bookman Old Style" w:cs="Bookman Old Style"/>
                <w:color w:val="000000"/>
              </w:rPr>
              <w:t>Se acoge la recomendación del Ministerio de Educación.</w:t>
            </w:r>
          </w:p>
        </w:tc>
      </w:tr>
      <w:tr w:rsidR="005D43C5" w:rsidRPr="005D4760" w:rsidTr="005D4760">
        <w:trPr>
          <w:trHeight w:val="60"/>
        </w:trPr>
        <w:tc>
          <w:tcPr>
            <w:tcW w:w="3189" w:type="dxa"/>
          </w:tcPr>
          <w:p w:rsidR="005D43C5" w:rsidRPr="005D4760" w:rsidRDefault="005D43C5" w:rsidP="005D4760">
            <w:pPr>
              <w:pBdr>
                <w:top w:val="nil"/>
                <w:left w:val="nil"/>
                <w:bottom w:val="nil"/>
                <w:right w:val="nil"/>
                <w:between w:val="nil"/>
              </w:pBdr>
              <w:spacing w:before="280" w:after="280"/>
              <w:jc w:val="both"/>
              <w:rPr>
                <w:rFonts w:ascii="Bookman Old Style" w:eastAsia="Bookman Old Style" w:hAnsi="Bookman Old Style" w:cs="Bookman Old Style"/>
                <w:color w:val="000000"/>
              </w:rPr>
            </w:pPr>
            <w:r w:rsidRPr="005D4760">
              <w:rPr>
                <w:rFonts w:ascii="Bookman Old Style" w:eastAsia="Bookman Old Style" w:hAnsi="Bookman Old Style" w:cs="Bookman Old Style"/>
                <w:b/>
                <w:color w:val="000000"/>
              </w:rPr>
              <w:t xml:space="preserve">Artículo 2°. </w:t>
            </w:r>
            <w:r w:rsidRPr="005D4760">
              <w:rPr>
                <w:rFonts w:ascii="Bookman Old Style" w:eastAsia="Bookman Old Style" w:hAnsi="Bookman Old Style" w:cs="Bookman Old Style"/>
                <w:color w:val="000000"/>
              </w:rPr>
              <w:t>Modifíquese el artículo 208 de la Ley 599 de 2000, el cual quedará así:</w:t>
            </w:r>
          </w:p>
          <w:p w:rsidR="005D43C5" w:rsidRPr="005D4760" w:rsidRDefault="005D43C5" w:rsidP="005D4760">
            <w:pPr>
              <w:pBdr>
                <w:top w:val="nil"/>
                <w:left w:val="nil"/>
                <w:bottom w:val="nil"/>
                <w:right w:val="nil"/>
                <w:between w:val="nil"/>
              </w:pBdr>
              <w:spacing w:before="280" w:after="280"/>
              <w:ind w:left="284" w:right="333"/>
              <w:jc w:val="both"/>
              <w:rPr>
                <w:rFonts w:ascii="Bookman Old Style" w:eastAsia="Bookman Old Style" w:hAnsi="Bookman Old Style" w:cs="Bookman Old Style"/>
                <w:color w:val="000000"/>
              </w:rPr>
            </w:pPr>
            <w:bookmarkStart w:id="0" w:name="208"/>
            <w:r w:rsidRPr="005D4760">
              <w:rPr>
                <w:rFonts w:ascii="Bookman Old Style" w:eastAsia="Bookman Old Style" w:hAnsi="Bookman Old Style" w:cs="Bookman Old Style"/>
                <w:b/>
                <w:bCs/>
                <w:color w:val="000000"/>
              </w:rPr>
              <w:t>ARTÍCULO 208. ACCESO CARNAL ABUSIVO CON MENOR DE DIECISEIS AÑOS.</w:t>
            </w:r>
            <w:bookmarkEnd w:id="0"/>
            <w:r w:rsidRPr="005D4760">
              <w:rPr>
                <w:rFonts w:ascii="Bookman Old Style" w:eastAsia="Bookman Old Style" w:hAnsi="Bookman Old Style" w:cs="Bookman Old Style"/>
                <w:color w:val="000000"/>
              </w:rPr>
              <w:t xml:space="preserve"> El que acceda carnalmente a persona menor de dieciséis (16) años, incurrirá en prisión de doce (12) a veinte (20) años.</w:t>
            </w:r>
          </w:p>
          <w:p w:rsidR="005D43C5" w:rsidRPr="005D4760" w:rsidRDefault="005D43C5" w:rsidP="005D4760">
            <w:pPr>
              <w:pBdr>
                <w:top w:val="nil"/>
                <w:left w:val="nil"/>
                <w:bottom w:val="nil"/>
                <w:right w:val="nil"/>
                <w:between w:val="nil"/>
              </w:pBdr>
              <w:spacing w:before="280" w:after="280"/>
              <w:ind w:left="284" w:right="333"/>
              <w:jc w:val="both"/>
              <w:rPr>
                <w:rFonts w:ascii="Bookman Old Style" w:eastAsia="Bookman Old Style" w:hAnsi="Bookman Old Style" w:cs="Bookman Old Style"/>
                <w:color w:val="000000"/>
              </w:rPr>
            </w:pPr>
            <w:r w:rsidRPr="005D4760">
              <w:rPr>
                <w:rFonts w:ascii="Bookman Old Style" w:eastAsia="Bookman Old Style" w:hAnsi="Bookman Old Style" w:cs="Bookman Old Style"/>
                <w:color w:val="000000"/>
              </w:rPr>
              <w:t xml:space="preserve">El consentimiento libre del menor de dieciséis (16) años exime de responsabilidad penal siempre que el autor sea una persona con una diferencia en edad de no más de </w:t>
            </w:r>
            <w:r w:rsidRPr="005D4760">
              <w:rPr>
                <w:rFonts w:ascii="Bookman Old Style" w:eastAsia="Bookman Old Style" w:hAnsi="Bookman Old Style" w:cs="Bookman Old Style"/>
                <w:color w:val="000000"/>
              </w:rPr>
              <w:lastRenderedPageBreak/>
              <w:t>tres (3) años.</w:t>
            </w:r>
          </w:p>
          <w:p w:rsidR="005D43C5" w:rsidRPr="005D4760" w:rsidRDefault="005D43C5" w:rsidP="005D4760">
            <w:pPr>
              <w:pBdr>
                <w:top w:val="nil"/>
                <w:left w:val="nil"/>
                <w:bottom w:val="nil"/>
                <w:right w:val="nil"/>
                <w:between w:val="nil"/>
              </w:pBdr>
              <w:spacing w:before="280" w:after="280"/>
              <w:ind w:left="284" w:right="333"/>
              <w:jc w:val="both"/>
              <w:rPr>
                <w:rFonts w:ascii="Bookman Old Style" w:eastAsia="Bookman Old Style" w:hAnsi="Bookman Old Style" w:cs="Bookman Old Style"/>
                <w:color w:val="000000"/>
              </w:rPr>
            </w:pPr>
            <w:r w:rsidRPr="005D4760">
              <w:rPr>
                <w:rFonts w:ascii="Bookman Old Style" w:eastAsia="Bookman Old Style" w:hAnsi="Bookman Old Style" w:cs="Bookman Old Style"/>
                <w:color w:val="000000"/>
              </w:rPr>
              <w:t xml:space="preserve">No habrá responsabilidad penal en los eventos en los cuales el acceso carnal en persona menor de dieciséis (16) años se realice por un sujeto cuya diferencia de edad no supere los tres (3) años. </w:t>
            </w:r>
          </w:p>
        </w:tc>
        <w:tc>
          <w:tcPr>
            <w:tcW w:w="3191" w:type="dxa"/>
          </w:tcPr>
          <w:p w:rsidR="005D43C5" w:rsidRPr="005D4760" w:rsidRDefault="005D43C5" w:rsidP="005D4760">
            <w:pPr>
              <w:pBdr>
                <w:top w:val="nil"/>
                <w:left w:val="nil"/>
                <w:bottom w:val="nil"/>
                <w:right w:val="nil"/>
                <w:between w:val="nil"/>
              </w:pBdr>
              <w:spacing w:before="280" w:after="280"/>
              <w:jc w:val="both"/>
              <w:rPr>
                <w:rFonts w:ascii="Bookman Old Style" w:eastAsia="Bookman Old Style" w:hAnsi="Bookman Old Style" w:cs="Bookman Old Style"/>
                <w:color w:val="000000"/>
              </w:rPr>
            </w:pPr>
            <w:r w:rsidRPr="005D4760">
              <w:rPr>
                <w:rFonts w:ascii="Bookman Old Style" w:eastAsia="Bookman Old Style" w:hAnsi="Bookman Old Style" w:cs="Bookman Old Style"/>
                <w:b/>
                <w:color w:val="000000"/>
              </w:rPr>
              <w:lastRenderedPageBreak/>
              <w:t xml:space="preserve">Artículo 2°. </w:t>
            </w:r>
            <w:r w:rsidRPr="005D4760">
              <w:rPr>
                <w:rFonts w:ascii="Bookman Old Style" w:eastAsia="Bookman Old Style" w:hAnsi="Bookman Old Style" w:cs="Bookman Old Style"/>
                <w:color w:val="000000"/>
              </w:rPr>
              <w:t>Modifíquese el artículo 208 de la Ley 599 de 2000, el cual quedará así:</w:t>
            </w:r>
          </w:p>
          <w:p w:rsidR="005D43C5" w:rsidRPr="005D4760" w:rsidRDefault="005D43C5" w:rsidP="005D4760">
            <w:pPr>
              <w:pBdr>
                <w:top w:val="nil"/>
                <w:left w:val="nil"/>
                <w:bottom w:val="nil"/>
                <w:right w:val="nil"/>
                <w:between w:val="nil"/>
              </w:pBdr>
              <w:spacing w:before="280" w:after="280"/>
              <w:ind w:left="284" w:right="333"/>
              <w:jc w:val="both"/>
              <w:rPr>
                <w:rFonts w:ascii="Bookman Old Style" w:eastAsia="Bookman Old Style" w:hAnsi="Bookman Old Style" w:cs="Bookman Old Style"/>
                <w:color w:val="000000"/>
              </w:rPr>
            </w:pPr>
            <w:r w:rsidRPr="005D4760">
              <w:rPr>
                <w:rFonts w:ascii="Bookman Old Style" w:eastAsia="Bookman Old Style" w:hAnsi="Bookman Old Style" w:cs="Bookman Old Style"/>
                <w:b/>
                <w:bCs/>
                <w:color w:val="000000"/>
              </w:rPr>
              <w:t>ARTÍCULO 208. ACCESO CARNAL ABUSIVO CON MENOR DE DIECISEIS AÑOS.</w:t>
            </w:r>
            <w:r w:rsidRPr="005D4760">
              <w:rPr>
                <w:rFonts w:ascii="Bookman Old Style" w:eastAsia="Bookman Old Style" w:hAnsi="Bookman Old Style" w:cs="Bookman Old Style"/>
                <w:color w:val="000000"/>
              </w:rPr>
              <w:t xml:space="preserve"> El que acceda carnalmente a persona menor de dieciséis (16) años, incurrirá en prisión de doce (12) a veinte (20) años.</w:t>
            </w:r>
          </w:p>
          <w:p w:rsidR="005D43C5" w:rsidRPr="005D4760" w:rsidRDefault="005D43C5" w:rsidP="005D4760">
            <w:pPr>
              <w:pBdr>
                <w:top w:val="nil"/>
                <w:left w:val="nil"/>
                <w:bottom w:val="nil"/>
                <w:right w:val="nil"/>
                <w:between w:val="nil"/>
              </w:pBdr>
              <w:spacing w:before="280" w:after="280"/>
              <w:ind w:left="284" w:right="333"/>
              <w:jc w:val="both"/>
              <w:rPr>
                <w:rFonts w:ascii="Bookman Old Style" w:eastAsia="Bookman Old Style" w:hAnsi="Bookman Old Style" w:cs="Bookman Old Style"/>
                <w:strike/>
                <w:color w:val="000000"/>
              </w:rPr>
            </w:pPr>
            <w:r w:rsidRPr="005D4760">
              <w:rPr>
                <w:rFonts w:ascii="Bookman Old Style" w:eastAsia="Bookman Old Style" w:hAnsi="Bookman Old Style" w:cs="Bookman Old Style"/>
                <w:strike/>
                <w:color w:val="000000"/>
              </w:rPr>
              <w:t xml:space="preserve">El consentimiento libre del menor de dieciséis (16) años exime de responsabilidad penal siempre que el autor sea una persona con una diferencia en edad de no más de </w:t>
            </w:r>
            <w:r w:rsidRPr="005D4760">
              <w:rPr>
                <w:rFonts w:ascii="Bookman Old Style" w:eastAsia="Bookman Old Style" w:hAnsi="Bookman Old Style" w:cs="Bookman Old Style"/>
                <w:strike/>
                <w:color w:val="000000"/>
              </w:rPr>
              <w:lastRenderedPageBreak/>
              <w:t>tres (3) años.</w:t>
            </w:r>
          </w:p>
          <w:p w:rsidR="005D43C5" w:rsidRPr="005D4760" w:rsidRDefault="005D43C5" w:rsidP="005D4760">
            <w:pPr>
              <w:pBdr>
                <w:top w:val="nil"/>
                <w:left w:val="nil"/>
                <w:bottom w:val="nil"/>
                <w:right w:val="nil"/>
                <w:between w:val="nil"/>
              </w:pBdr>
              <w:spacing w:before="280" w:after="280"/>
              <w:ind w:left="284" w:right="333"/>
              <w:jc w:val="both"/>
              <w:rPr>
                <w:rFonts w:ascii="Bookman Old Style" w:eastAsia="Bookman Old Style" w:hAnsi="Bookman Old Style" w:cs="Bookman Old Style"/>
                <w:strike/>
                <w:color w:val="000000"/>
              </w:rPr>
            </w:pPr>
            <w:r w:rsidRPr="005D4760">
              <w:rPr>
                <w:rFonts w:ascii="Bookman Old Style" w:eastAsia="Bookman Old Style" w:hAnsi="Bookman Old Style" w:cs="Bookman Old Style"/>
                <w:strike/>
                <w:color w:val="000000"/>
              </w:rPr>
              <w:t xml:space="preserve">No habrá responsabilidad penal en los eventos en los cuales el acceso carnal en persona menor de dieciséis (16) años se realice por un sujeto cuya diferencia de edad no supere los tres (3) años. </w:t>
            </w:r>
          </w:p>
          <w:p w:rsidR="005D43C5" w:rsidRPr="005D4760" w:rsidRDefault="005D43C5" w:rsidP="005D4760">
            <w:pPr>
              <w:jc w:val="both"/>
              <w:rPr>
                <w:rFonts w:ascii="Bookman Old Style" w:eastAsia="Bookman Old Style" w:hAnsi="Bookman Old Style" w:cs="Bookman Old Style"/>
                <w:b/>
                <w:color w:val="000000"/>
              </w:rPr>
            </w:pPr>
          </w:p>
        </w:tc>
        <w:tc>
          <w:tcPr>
            <w:tcW w:w="3190" w:type="dxa"/>
          </w:tcPr>
          <w:p w:rsidR="005D43C5" w:rsidRPr="005D4760" w:rsidRDefault="005D43C5" w:rsidP="005D4760">
            <w:pPr>
              <w:jc w:val="both"/>
              <w:rPr>
                <w:rFonts w:ascii="Bookman Old Style" w:eastAsia="Bookman Old Style" w:hAnsi="Bookman Old Style" w:cs="Bookman Old Style"/>
                <w:b/>
                <w:color w:val="000000"/>
              </w:rPr>
            </w:pPr>
          </w:p>
          <w:p w:rsidR="005D43C5" w:rsidRPr="005D4760" w:rsidRDefault="005D43C5" w:rsidP="005D4760">
            <w:pPr>
              <w:jc w:val="both"/>
              <w:rPr>
                <w:rFonts w:ascii="Bookman Old Style" w:eastAsia="Bookman Old Style" w:hAnsi="Bookman Old Style" w:cs="Bookman Old Style"/>
                <w:color w:val="000000"/>
              </w:rPr>
            </w:pPr>
            <w:r w:rsidRPr="005D4760">
              <w:rPr>
                <w:rFonts w:ascii="Bookman Old Style" w:eastAsia="Bookman Old Style" w:hAnsi="Bookman Old Style" w:cs="Bookman Old Style"/>
                <w:color w:val="000000"/>
              </w:rPr>
              <w:t>Se acoge la recomendación del Ministerio de Educación.</w:t>
            </w:r>
          </w:p>
        </w:tc>
      </w:tr>
      <w:tr w:rsidR="005D43C5" w:rsidRPr="005D4760" w:rsidTr="005D4760">
        <w:tc>
          <w:tcPr>
            <w:tcW w:w="3189" w:type="dxa"/>
          </w:tcPr>
          <w:p w:rsidR="005D43C5" w:rsidRPr="005D4760" w:rsidRDefault="005D43C5" w:rsidP="005D4760">
            <w:pPr>
              <w:pBdr>
                <w:top w:val="nil"/>
                <w:left w:val="nil"/>
                <w:bottom w:val="nil"/>
                <w:right w:val="nil"/>
                <w:between w:val="nil"/>
              </w:pBdr>
              <w:spacing w:before="280" w:after="280"/>
              <w:jc w:val="both"/>
              <w:rPr>
                <w:rFonts w:ascii="Bookman Old Style" w:eastAsia="Bookman Old Style" w:hAnsi="Bookman Old Style" w:cs="Bookman Old Style"/>
                <w:color w:val="000000"/>
              </w:rPr>
            </w:pPr>
            <w:r w:rsidRPr="005D4760">
              <w:rPr>
                <w:rFonts w:ascii="Bookman Old Style" w:eastAsia="Bookman Old Style" w:hAnsi="Bookman Old Style" w:cs="Bookman Old Style"/>
                <w:b/>
                <w:color w:val="000000"/>
              </w:rPr>
              <w:lastRenderedPageBreak/>
              <w:t xml:space="preserve">Artículo 3°. </w:t>
            </w:r>
            <w:r w:rsidRPr="005D4760">
              <w:rPr>
                <w:rFonts w:ascii="Bookman Old Style" w:eastAsia="Bookman Old Style" w:hAnsi="Bookman Old Style" w:cs="Bookman Old Style"/>
                <w:color w:val="000000"/>
              </w:rPr>
              <w:t>Modifíquese el artículo 209 de la Ley 599 de 2000, el cual quedará así:</w:t>
            </w:r>
          </w:p>
          <w:p w:rsidR="005D43C5" w:rsidRPr="005D4760" w:rsidRDefault="005D43C5" w:rsidP="005D4760">
            <w:pPr>
              <w:pBdr>
                <w:top w:val="nil"/>
                <w:left w:val="nil"/>
                <w:bottom w:val="nil"/>
                <w:right w:val="nil"/>
                <w:between w:val="nil"/>
              </w:pBdr>
              <w:spacing w:before="280" w:after="280"/>
              <w:ind w:left="284" w:right="333"/>
              <w:jc w:val="both"/>
              <w:rPr>
                <w:rFonts w:ascii="Bookman Old Style" w:eastAsia="Bookman Old Style" w:hAnsi="Bookman Old Style" w:cs="Bookman Old Style"/>
                <w:color w:val="000000"/>
              </w:rPr>
            </w:pPr>
            <w:bookmarkStart w:id="1" w:name="209"/>
            <w:r w:rsidRPr="005D4760">
              <w:rPr>
                <w:rFonts w:ascii="Bookman Old Style" w:eastAsia="Bookman Old Style" w:hAnsi="Bookman Old Style" w:cs="Bookman Old Style"/>
                <w:b/>
                <w:bCs/>
                <w:color w:val="000000"/>
              </w:rPr>
              <w:t>ARTÍCULO 209. ACTOS SEXUALES CON MENOR DE DIECISEIS AÑOS.</w:t>
            </w:r>
            <w:bookmarkEnd w:id="1"/>
            <w:r w:rsidRPr="005D4760">
              <w:rPr>
                <w:rFonts w:ascii="Bookman Old Style" w:eastAsia="Bookman Old Style" w:hAnsi="Bookman Old Style" w:cs="Bookman Old Style"/>
                <w:color w:val="000000"/>
              </w:rPr>
              <w:t>  El que realizare actos sexuales diversos del acceso carnal con persona menor de dieciséis (16) años o en su presencia, o la induzca a prácticas sexuales, incurrirá en prisión de nueve (9) a trece (13) años.</w:t>
            </w:r>
          </w:p>
          <w:p w:rsidR="005D43C5" w:rsidRPr="005D4760" w:rsidRDefault="005D43C5" w:rsidP="005D4760">
            <w:pPr>
              <w:pBdr>
                <w:top w:val="nil"/>
                <w:left w:val="nil"/>
                <w:bottom w:val="nil"/>
                <w:right w:val="nil"/>
                <w:between w:val="nil"/>
              </w:pBdr>
              <w:spacing w:before="280" w:after="280"/>
              <w:ind w:left="284" w:right="333"/>
              <w:jc w:val="both"/>
              <w:rPr>
                <w:rFonts w:ascii="Bookman Old Style" w:eastAsia="Bookman Old Style" w:hAnsi="Bookman Old Style" w:cs="Bookman Old Style"/>
                <w:color w:val="000000"/>
              </w:rPr>
            </w:pPr>
            <w:r w:rsidRPr="005D4760">
              <w:rPr>
                <w:rFonts w:ascii="Bookman Old Style" w:eastAsia="Bookman Old Style" w:hAnsi="Bookman Old Style" w:cs="Bookman Old Style"/>
                <w:color w:val="000000"/>
              </w:rPr>
              <w:t>El consentimiento libre del menor de dieciséis (16) años exime de responsabilidad penal siempre que el autor sea una persona con una diferencia en edad de no más de tres (3) años.</w:t>
            </w:r>
          </w:p>
          <w:p w:rsidR="005D43C5" w:rsidRPr="005D4760" w:rsidRDefault="005D43C5" w:rsidP="005D4760">
            <w:pPr>
              <w:pBdr>
                <w:top w:val="nil"/>
                <w:left w:val="nil"/>
                <w:bottom w:val="nil"/>
                <w:right w:val="nil"/>
                <w:between w:val="nil"/>
              </w:pBdr>
              <w:spacing w:before="280" w:after="280"/>
              <w:ind w:left="284" w:right="333"/>
              <w:jc w:val="both"/>
              <w:rPr>
                <w:rFonts w:ascii="Bookman Old Style" w:eastAsia="Bookman Old Style" w:hAnsi="Bookman Old Style" w:cs="Bookman Old Style"/>
                <w:color w:val="000000"/>
              </w:rPr>
            </w:pPr>
            <w:r w:rsidRPr="005D4760">
              <w:rPr>
                <w:rFonts w:ascii="Bookman Old Style" w:eastAsia="Bookman Old Style" w:hAnsi="Bookman Old Style" w:cs="Bookman Old Style"/>
                <w:color w:val="000000"/>
              </w:rPr>
              <w:t xml:space="preserve">No habrá </w:t>
            </w:r>
            <w:r w:rsidRPr="005D4760">
              <w:rPr>
                <w:rFonts w:ascii="Bookman Old Style" w:eastAsia="Bookman Old Style" w:hAnsi="Bookman Old Style" w:cs="Bookman Old Style"/>
                <w:color w:val="000000"/>
              </w:rPr>
              <w:lastRenderedPageBreak/>
              <w:t xml:space="preserve">responsabilidad penal en los eventos en los cuales el acto sexual en persona menor de dieciséis (16) años se realice por un sujeto cuya diferencia de edad no supere los tres (3) años. </w:t>
            </w:r>
          </w:p>
        </w:tc>
        <w:tc>
          <w:tcPr>
            <w:tcW w:w="3191" w:type="dxa"/>
          </w:tcPr>
          <w:p w:rsidR="005D43C5" w:rsidRPr="005D4760" w:rsidRDefault="005D43C5" w:rsidP="005D4760">
            <w:pPr>
              <w:pBdr>
                <w:top w:val="nil"/>
                <w:left w:val="nil"/>
                <w:bottom w:val="nil"/>
                <w:right w:val="nil"/>
                <w:between w:val="nil"/>
              </w:pBdr>
              <w:spacing w:before="280" w:after="280"/>
              <w:jc w:val="both"/>
              <w:rPr>
                <w:rFonts w:ascii="Bookman Old Style" w:eastAsia="Bookman Old Style" w:hAnsi="Bookman Old Style" w:cs="Bookman Old Style"/>
                <w:color w:val="000000"/>
              </w:rPr>
            </w:pPr>
            <w:r w:rsidRPr="005D4760">
              <w:rPr>
                <w:rFonts w:ascii="Bookman Old Style" w:eastAsia="Bookman Old Style" w:hAnsi="Bookman Old Style" w:cs="Bookman Old Style"/>
                <w:b/>
                <w:color w:val="000000"/>
              </w:rPr>
              <w:lastRenderedPageBreak/>
              <w:t xml:space="preserve">Artículo 3°. </w:t>
            </w:r>
            <w:r w:rsidRPr="005D4760">
              <w:rPr>
                <w:rFonts w:ascii="Bookman Old Style" w:eastAsia="Bookman Old Style" w:hAnsi="Bookman Old Style" w:cs="Bookman Old Style"/>
                <w:color w:val="000000"/>
              </w:rPr>
              <w:t>Modifíquese el artículo 209 de la Ley 599 de 2000, el cual quedará así:</w:t>
            </w:r>
          </w:p>
          <w:p w:rsidR="005D43C5" w:rsidRPr="005D4760" w:rsidRDefault="005D43C5" w:rsidP="005D4760">
            <w:pPr>
              <w:pBdr>
                <w:top w:val="nil"/>
                <w:left w:val="nil"/>
                <w:bottom w:val="nil"/>
                <w:right w:val="nil"/>
                <w:between w:val="nil"/>
              </w:pBdr>
              <w:spacing w:before="280" w:after="280"/>
              <w:ind w:left="284" w:right="333"/>
              <w:jc w:val="both"/>
              <w:rPr>
                <w:rFonts w:ascii="Bookman Old Style" w:eastAsia="Bookman Old Style" w:hAnsi="Bookman Old Style" w:cs="Bookman Old Style"/>
                <w:color w:val="000000"/>
              </w:rPr>
            </w:pPr>
            <w:r w:rsidRPr="005D4760">
              <w:rPr>
                <w:rFonts w:ascii="Bookman Old Style" w:eastAsia="Bookman Old Style" w:hAnsi="Bookman Old Style" w:cs="Bookman Old Style"/>
                <w:b/>
                <w:bCs/>
                <w:color w:val="000000"/>
              </w:rPr>
              <w:t>ARTÍCULO 209. ACTOS SEXUALES CON MENOR DE DIECISEIS AÑOS.</w:t>
            </w:r>
            <w:r w:rsidRPr="005D4760">
              <w:rPr>
                <w:rFonts w:ascii="Bookman Old Style" w:eastAsia="Bookman Old Style" w:hAnsi="Bookman Old Style" w:cs="Bookman Old Style"/>
                <w:color w:val="000000"/>
              </w:rPr>
              <w:t>  El que realizare actos sexuales diversos del acceso carnal con persona menor de dieciséis (16) años o en su presencia, o la induzca a prácticas sexuales, incurrirá en prisión de nueve (9) a trece (13) años.</w:t>
            </w:r>
          </w:p>
          <w:p w:rsidR="005D43C5" w:rsidRPr="005D4760" w:rsidRDefault="005D43C5" w:rsidP="005D4760">
            <w:pPr>
              <w:pBdr>
                <w:top w:val="nil"/>
                <w:left w:val="nil"/>
                <w:bottom w:val="nil"/>
                <w:right w:val="nil"/>
                <w:between w:val="nil"/>
              </w:pBdr>
              <w:spacing w:before="280" w:after="280"/>
              <w:ind w:left="284" w:right="333"/>
              <w:jc w:val="both"/>
              <w:rPr>
                <w:rFonts w:ascii="Bookman Old Style" w:eastAsia="Bookman Old Style" w:hAnsi="Bookman Old Style" w:cs="Bookman Old Style"/>
                <w:strike/>
                <w:color w:val="000000"/>
              </w:rPr>
            </w:pPr>
            <w:r w:rsidRPr="005D4760">
              <w:rPr>
                <w:rFonts w:ascii="Bookman Old Style" w:eastAsia="Bookman Old Style" w:hAnsi="Bookman Old Style" w:cs="Bookman Old Style"/>
                <w:strike/>
                <w:color w:val="000000"/>
              </w:rPr>
              <w:t>El consentimiento libre del menor de dieciséis (16) años exime de responsabilidad penal siempre que el autor sea una persona con una diferencia en edad de no más de tres (3) años.</w:t>
            </w:r>
          </w:p>
          <w:p w:rsidR="005D43C5" w:rsidRPr="005D4760" w:rsidRDefault="005D43C5" w:rsidP="005D4760">
            <w:pPr>
              <w:pBdr>
                <w:top w:val="nil"/>
                <w:left w:val="nil"/>
                <w:bottom w:val="nil"/>
                <w:right w:val="nil"/>
                <w:between w:val="nil"/>
              </w:pBdr>
              <w:spacing w:before="280" w:after="280"/>
              <w:ind w:left="284" w:right="333"/>
              <w:jc w:val="both"/>
              <w:rPr>
                <w:rFonts w:ascii="Bookman Old Style" w:eastAsia="Bookman Old Style" w:hAnsi="Bookman Old Style" w:cs="Bookman Old Style"/>
                <w:strike/>
                <w:color w:val="000000"/>
              </w:rPr>
            </w:pPr>
            <w:r w:rsidRPr="005D4760">
              <w:rPr>
                <w:rFonts w:ascii="Bookman Old Style" w:eastAsia="Bookman Old Style" w:hAnsi="Bookman Old Style" w:cs="Bookman Old Style"/>
                <w:strike/>
                <w:color w:val="000000"/>
              </w:rPr>
              <w:t xml:space="preserve">No habrá </w:t>
            </w:r>
            <w:r w:rsidRPr="005D4760">
              <w:rPr>
                <w:rFonts w:ascii="Bookman Old Style" w:eastAsia="Bookman Old Style" w:hAnsi="Bookman Old Style" w:cs="Bookman Old Style"/>
                <w:strike/>
                <w:color w:val="000000"/>
              </w:rPr>
              <w:lastRenderedPageBreak/>
              <w:t xml:space="preserve">responsabilidad penal en los eventos en los cuales el acto sexual en persona menor de dieciséis (16) años se realice por un sujeto cuya diferencia de edad no supere los tres (3) años. </w:t>
            </w:r>
          </w:p>
          <w:p w:rsidR="005D43C5" w:rsidRPr="005D4760" w:rsidRDefault="005D43C5" w:rsidP="005D4760">
            <w:pPr>
              <w:jc w:val="both"/>
              <w:rPr>
                <w:rFonts w:ascii="Bookman Old Style" w:eastAsia="Bookman Old Style" w:hAnsi="Bookman Old Style" w:cs="Bookman Old Style"/>
                <w:b/>
                <w:color w:val="000000"/>
              </w:rPr>
            </w:pPr>
          </w:p>
        </w:tc>
        <w:tc>
          <w:tcPr>
            <w:tcW w:w="3190" w:type="dxa"/>
          </w:tcPr>
          <w:p w:rsidR="005D43C5" w:rsidRPr="005D4760" w:rsidRDefault="005D43C5" w:rsidP="005D4760">
            <w:pPr>
              <w:jc w:val="both"/>
              <w:rPr>
                <w:rFonts w:ascii="Bookman Old Style" w:eastAsia="Bookman Old Style" w:hAnsi="Bookman Old Style" w:cs="Bookman Old Style"/>
                <w:b/>
                <w:color w:val="000000"/>
              </w:rPr>
            </w:pPr>
          </w:p>
          <w:p w:rsidR="005D43C5" w:rsidRPr="005D4760" w:rsidRDefault="005D43C5" w:rsidP="005D4760">
            <w:pPr>
              <w:jc w:val="both"/>
              <w:rPr>
                <w:rFonts w:ascii="Bookman Old Style" w:eastAsia="Bookman Old Style" w:hAnsi="Bookman Old Style" w:cs="Bookman Old Style"/>
                <w:b/>
                <w:color w:val="000000"/>
              </w:rPr>
            </w:pPr>
            <w:r w:rsidRPr="005D4760">
              <w:rPr>
                <w:rFonts w:ascii="Bookman Old Style" w:eastAsia="Bookman Old Style" w:hAnsi="Bookman Old Style" w:cs="Bookman Old Style"/>
                <w:color w:val="000000"/>
              </w:rPr>
              <w:t>Se acoge la recomendación del Ministerio de Educación.</w:t>
            </w:r>
          </w:p>
        </w:tc>
      </w:tr>
      <w:tr w:rsidR="005D43C5" w:rsidRPr="005D4760" w:rsidTr="005D4760">
        <w:tc>
          <w:tcPr>
            <w:tcW w:w="3189" w:type="dxa"/>
          </w:tcPr>
          <w:p w:rsidR="005D43C5" w:rsidRPr="005D4760" w:rsidRDefault="005D43C5" w:rsidP="005D4760">
            <w:pPr>
              <w:pBdr>
                <w:top w:val="nil"/>
                <w:left w:val="nil"/>
                <w:bottom w:val="nil"/>
                <w:right w:val="nil"/>
                <w:between w:val="nil"/>
              </w:pBdr>
              <w:spacing w:before="280" w:after="280"/>
              <w:ind w:right="333"/>
              <w:jc w:val="both"/>
              <w:rPr>
                <w:rFonts w:ascii="Bookman Old Style" w:eastAsia="Bookman Old Style" w:hAnsi="Bookman Old Style" w:cs="Bookman Old Style"/>
                <w:color w:val="000000"/>
              </w:rPr>
            </w:pPr>
            <w:r w:rsidRPr="005D4760">
              <w:rPr>
                <w:rFonts w:ascii="Bookman Old Style" w:eastAsia="Bookman Old Style" w:hAnsi="Bookman Old Style" w:cs="Bookman Old Style"/>
                <w:b/>
                <w:color w:val="000000"/>
              </w:rPr>
              <w:lastRenderedPageBreak/>
              <w:t xml:space="preserve">Artículo 4°. </w:t>
            </w:r>
            <w:r w:rsidRPr="005D4760">
              <w:rPr>
                <w:rFonts w:ascii="Bookman Old Style" w:eastAsia="Bookman Old Style" w:hAnsi="Bookman Old Style" w:cs="Bookman Old Style"/>
                <w:color w:val="000000"/>
              </w:rPr>
              <w:t xml:space="preserve">Modifíquese el numeral primero del artículo 216 de la Ley 599 de 2000, así: </w:t>
            </w:r>
          </w:p>
          <w:p w:rsidR="005D43C5" w:rsidRPr="005D4760" w:rsidRDefault="005D43C5" w:rsidP="005D4760">
            <w:pPr>
              <w:pBdr>
                <w:top w:val="nil"/>
                <w:left w:val="nil"/>
                <w:bottom w:val="nil"/>
                <w:right w:val="nil"/>
                <w:between w:val="nil"/>
              </w:pBdr>
              <w:spacing w:before="280" w:after="280"/>
              <w:ind w:left="284" w:right="333"/>
              <w:jc w:val="both"/>
              <w:rPr>
                <w:rFonts w:ascii="Bookman Old Style" w:eastAsia="Bookman Old Style" w:hAnsi="Bookman Old Style" w:cs="Bookman Old Style"/>
              </w:rPr>
            </w:pPr>
            <w:bookmarkStart w:id="2" w:name="216"/>
            <w:r w:rsidRPr="005D4760">
              <w:rPr>
                <w:rFonts w:ascii="Bookman Old Style" w:eastAsia="Bookman Old Style" w:hAnsi="Bookman Old Style" w:cs="Bookman Old Style"/>
                <w:b/>
                <w:bCs/>
              </w:rPr>
              <w:t>ARTÍCULO 216. CIRCUNSTANCIAS DE AGRAVACIÓN PUNITIVA.</w:t>
            </w:r>
            <w:bookmarkEnd w:id="2"/>
            <w:r w:rsidRPr="005D4760">
              <w:rPr>
                <w:rFonts w:ascii="Bookman Old Style" w:eastAsia="Bookman Old Style" w:hAnsi="Bookman Old Style" w:cs="Bookman Old Style"/>
                <w:b/>
              </w:rPr>
              <w:t> </w:t>
            </w:r>
            <w:r w:rsidRPr="005D4760">
              <w:rPr>
                <w:rFonts w:ascii="Bookman Old Style" w:eastAsia="Bookman Old Style" w:hAnsi="Bookman Old Style" w:cs="Bookman Old Style"/>
              </w:rPr>
              <w:t xml:space="preserve"> Las penas para los delitos descritos en los artículos anteriores, se aumentarán de una tercera parte a la mitad, cuando la conducta:</w:t>
            </w:r>
          </w:p>
          <w:p w:rsidR="005D43C5" w:rsidRPr="005D4760" w:rsidRDefault="005D43C5" w:rsidP="005D4760">
            <w:pPr>
              <w:pBdr>
                <w:top w:val="nil"/>
                <w:left w:val="nil"/>
                <w:bottom w:val="nil"/>
                <w:right w:val="nil"/>
                <w:between w:val="nil"/>
              </w:pBdr>
              <w:spacing w:before="280" w:after="280"/>
              <w:ind w:left="284" w:right="333"/>
              <w:jc w:val="both"/>
              <w:rPr>
                <w:rFonts w:ascii="Bookman Old Style" w:eastAsia="Bookman Old Style" w:hAnsi="Bookman Old Style" w:cs="Bookman Old Style"/>
              </w:rPr>
            </w:pPr>
            <w:r w:rsidRPr="005D4760">
              <w:rPr>
                <w:rFonts w:ascii="Bookman Old Style" w:eastAsia="Bookman Old Style" w:hAnsi="Bookman Old Style" w:cs="Bookman Old Style"/>
              </w:rPr>
              <w:t>1. Se realizare en persona menor de dieciséis (16) años.</w:t>
            </w:r>
          </w:p>
          <w:p w:rsidR="005D43C5" w:rsidRPr="005D4760" w:rsidRDefault="005D43C5" w:rsidP="005D4760">
            <w:pPr>
              <w:jc w:val="both"/>
              <w:rPr>
                <w:rFonts w:ascii="Bookman Old Style" w:eastAsia="Bookman Old Style" w:hAnsi="Bookman Old Style" w:cs="Bookman Old Style"/>
                <w:b/>
                <w:color w:val="000000"/>
              </w:rPr>
            </w:pPr>
          </w:p>
        </w:tc>
        <w:tc>
          <w:tcPr>
            <w:tcW w:w="3191" w:type="dxa"/>
          </w:tcPr>
          <w:p w:rsidR="005D43C5" w:rsidRPr="005D4760" w:rsidRDefault="005D43C5" w:rsidP="005D4760">
            <w:pPr>
              <w:pBdr>
                <w:top w:val="nil"/>
                <w:left w:val="nil"/>
                <w:bottom w:val="nil"/>
                <w:right w:val="nil"/>
                <w:between w:val="nil"/>
              </w:pBdr>
              <w:spacing w:before="280" w:after="280"/>
              <w:ind w:right="333"/>
              <w:jc w:val="both"/>
              <w:rPr>
                <w:rFonts w:ascii="Bookman Old Style" w:eastAsia="Bookman Old Style" w:hAnsi="Bookman Old Style" w:cs="Bookman Old Style"/>
                <w:color w:val="000000"/>
              </w:rPr>
            </w:pPr>
            <w:r w:rsidRPr="005D4760">
              <w:rPr>
                <w:rFonts w:ascii="Bookman Old Style" w:eastAsia="Bookman Old Style" w:hAnsi="Bookman Old Style" w:cs="Bookman Old Style"/>
                <w:b/>
                <w:color w:val="000000"/>
              </w:rPr>
              <w:t xml:space="preserve">Artículo 4°. </w:t>
            </w:r>
            <w:r w:rsidRPr="005D4760">
              <w:rPr>
                <w:rFonts w:ascii="Bookman Old Style" w:eastAsia="Bookman Old Style" w:hAnsi="Bookman Old Style" w:cs="Bookman Old Style"/>
                <w:color w:val="000000"/>
              </w:rPr>
              <w:t xml:space="preserve">Modifíquese el numeral primero del artículo 216 de la Ley 599 de 2000, así: </w:t>
            </w:r>
          </w:p>
          <w:p w:rsidR="005D43C5" w:rsidRPr="005D4760" w:rsidRDefault="005D43C5" w:rsidP="005D4760">
            <w:pPr>
              <w:pBdr>
                <w:top w:val="nil"/>
                <w:left w:val="nil"/>
                <w:bottom w:val="nil"/>
                <w:right w:val="nil"/>
                <w:between w:val="nil"/>
              </w:pBdr>
              <w:spacing w:before="280" w:after="280"/>
              <w:ind w:left="284" w:right="333"/>
              <w:jc w:val="both"/>
              <w:rPr>
                <w:rFonts w:ascii="Bookman Old Style" w:eastAsia="Bookman Old Style" w:hAnsi="Bookman Old Style" w:cs="Bookman Old Style"/>
              </w:rPr>
            </w:pPr>
            <w:r w:rsidRPr="005D4760">
              <w:rPr>
                <w:rFonts w:ascii="Bookman Old Style" w:eastAsia="Bookman Old Style" w:hAnsi="Bookman Old Style" w:cs="Bookman Old Style"/>
                <w:b/>
                <w:bCs/>
              </w:rPr>
              <w:t>ARTÍCULO 216. CIRCUNSTANCIAS DE AGRAVACIÓN PUNITIVA.</w:t>
            </w:r>
            <w:r w:rsidRPr="005D4760">
              <w:rPr>
                <w:rFonts w:ascii="Bookman Old Style" w:eastAsia="Bookman Old Style" w:hAnsi="Bookman Old Style" w:cs="Bookman Old Style"/>
                <w:b/>
              </w:rPr>
              <w:t> </w:t>
            </w:r>
            <w:r w:rsidRPr="005D4760">
              <w:rPr>
                <w:rFonts w:ascii="Bookman Old Style" w:eastAsia="Bookman Old Style" w:hAnsi="Bookman Old Style" w:cs="Bookman Old Style"/>
              </w:rPr>
              <w:t xml:space="preserve"> Las penas para los delitos descritos en los artículos anteriores, se aumentarán de una tercera parte a la mitad, cuando la conducta:</w:t>
            </w:r>
          </w:p>
          <w:p w:rsidR="005D43C5" w:rsidRPr="005D4760" w:rsidRDefault="005D43C5" w:rsidP="005D4760">
            <w:pPr>
              <w:pBdr>
                <w:top w:val="nil"/>
                <w:left w:val="nil"/>
                <w:bottom w:val="nil"/>
                <w:right w:val="nil"/>
                <w:between w:val="nil"/>
              </w:pBdr>
              <w:spacing w:before="280" w:after="280"/>
              <w:ind w:left="284" w:right="333"/>
              <w:jc w:val="both"/>
              <w:rPr>
                <w:rFonts w:ascii="Bookman Old Style" w:eastAsia="Bookman Old Style" w:hAnsi="Bookman Old Style" w:cs="Bookman Old Style"/>
              </w:rPr>
            </w:pPr>
            <w:r w:rsidRPr="005D4760">
              <w:rPr>
                <w:rFonts w:ascii="Bookman Old Style" w:eastAsia="Bookman Old Style" w:hAnsi="Bookman Old Style" w:cs="Bookman Old Style"/>
              </w:rPr>
              <w:t>1. Se realizare en persona menor de dieciséis (16) años.</w:t>
            </w:r>
          </w:p>
          <w:p w:rsidR="005D43C5" w:rsidRPr="005D4760" w:rsidRDefault="005D43C5" w:rsidP="005D4760">
            <w:pPr>
              <w:jc w:val="both"/>
              <w:rPr>
                <w:rFonts w:ascii="Bookman Old Style" w:eastAsia="Bookman Old Style" w:hAnsi="Bookman Old Style" w:cs="Bookman Old Style"/>
                <w:b/>
                <w:color w:val="000000"/>
              </w:rPr>
            </w:pPr>
          </w:p>
        </w:tc>
        <w:tc>
          <w:tcPr>
            <w:tcW w:w="3190" w:type="dxa"/>
          </w:tcPr>
          <w:p w:rsidR="005D43C5" w:rsidRPr="005D4760" w:rsidRDefault="005D43C5" w:rsidP="005D4760">
            <w:pPr>
              <w:jc w:val="both"/>
              <w:rPr>
                <w:rFonts w:ascii="Bookman Old Style" w:eastAsia="Bookman Old Style" w:hAnsi="Bookman Old Style" w:cs="Bookman Old Style"/>
                <w:b/>
                <w:color w:val="000000"/>
              </w:rPr>
            </w:pPr>
          </w:p>
          <w:p w:rsidR="005D43C5" w:rsidRPr="005D4760" w:rsidRDefault="005D43C5" w:rsidP="005D4760">
            <w:pPr>
              <w:jc w:val="both"/>
              <w:rPr>
                <w:rFonts w:ascii="Bookman Old Style" w:eastAsia="Bookman Old Style" w:hAnsi="Bookman Old Style" w:cs="Bookman Old Style"/>
                <w:color w:val="000000"/>
              </w:rPr>
            </w:pPr>
            <w:r w:rsidRPr="005D4760">
              <w:rPr>
                <w:rFonts w:ascii="Bookman Old Style" w:eastAsia="Bookman Old Style" w:hAnsi="Bookman Old Style" w:cs="Bookman Old Style"/>
                <w:color w:val="000000"/>
              </w:rPr>
              <w:t>Sin cambios.</w:t>
            </w:r>
          </w:p>
        </w:tc>
      </w:tr>
      <w:tr w:rsidR="005D43C5" w:rsidRPr="005D4760" w:rsidTr="005D4760">
        <w:tc>
          <w:tcPr>
            <w:tcW w:w="3189" w:type="dxa"/>
          </w:tcPr>
          <w:p w:rsidR="005D43C5" w:rsidRPr="005D4760" w:rsidRDefault="005D43C5" w:rsidP="005D4760">
            <w:pPr>
              <w:pBdr>
                <w:top w:val="nil"/>
                <w:left w:val="nil"/>
                <w:bottom w:val="nil"/>
                <w:right w:val="nil"/>
                <w:between w:val="nil"/>
              </w:pBdr>
              <w:spacing w:before="280" w:after="280"/>
              <w:ind w:right="333"/>
              <w:jc w:val="both"/>
              <w:rPr>
                <w:rFonts w:ascii="Bookman Old Style" w:eastAsia="Bookman Old Style" w:hAnsi="Bookman Old Style" w:cs="Bookman Old Style"/>
                <w:color w:val="000000"/>
              </w:rPr>
            </w:pPr>
            <w:r w:rsidRPr="005D4760">
              <w:rPr>
                <w:rFonts w:ascii="Bookman Old Style" w:eastAsia="Bookman Old Style" w:hAnsi="Bookman Old Style" w:cs="Bookman Old Style"/>
                <w:b/>
                <w:color w:val="000000"/>
              </w:rPr>
              <w:t xml:space="preserve">Artículo 5°. </w:t>
            </w:r>
            <w:r w:rsidRPr="005D4760">
              <w:rPr>
                <w:rFonts w:ascii="Bookman Old Style" w:eastAsia="Bookman Old Style" w:hAnsi="Bookman Old Style" w:cs="Bookman Old Style"/>
                <w:color w:val="000000"/>
              </w:rPr>
              <w:t xml:space="preserve">Modifíquese el inciso segundo del parágrafo del artículo 53 de la Ley 1306 de 2009, así: </w:t>
            </w:r>
          </w:p>
          <w:p w:rsidR="005D43C5" w:rsidRPr="005D4760" w:rsidRDefault="005D43C5" w:rsidP="005D4760">
            <w:pPr>
              <w:pStyle w:val="NormalWeb"/>
              <w:ind w:left="284" w:right="333"/>
              <w:jc w:val="both"/>
              <w:rPr>
                <w:rFonts w:ascii="Bookman Old Style" w:eastAsia="Bookman Old Style" w:hAnsi="Bookman Old Style" w:cs="Bookman Old Style"/>
                <w:color w:val="000000"/>
                <w:sz w:val="22"/>
                <w:szCs w:val="22"/>
              </w:rPr>
            </w:pPr>
            <w:r w:rsidRPr="005D4760">
              <w:rPr>
                <w:rFonts w:ascii="Bookman Old Style" w:eastAsia="Bookman Old Style" w:hAnsi="Bookman Old Style" w:cs="Bookman Old Style"/>
                <w:b/>
                <w:sz w:val="22"/>
                <w:szCs w:val="22"/>
              </w:rPr>
              <w:t>PARÁGRAFO.</w:t>
            </w:r>
            <w:r w:rsidRPr="005D4760">
              <w:rPr>
                <w:rFonts w:ascii="Bookman Old Style" w:eastAsia="Bookman Old Style" w:hAnsi="Bookman Old Style" w:cs="Bookman Old Style"/>
                <w:color w:val="000000"/>
                <w:sz w:val="22"/>
                <w:szCs w:val="22"/>
              </w:rPr>
              <w:t> Para todos los efectos legales el impúber se equipara al niño y niña definido en el artículo </w:t>
            </w:r>
            <w:hyperlink r:id="rId14" w:anchor="3" w:history="1">
              <w:r w:rsidRPr="005D4760">
                <w:rPr>
                  <w:rFonts w:ascii="Bookman Old Style" w:eastAsia="Bookman Old Style" w:hAnsi="Bookman Old Style" w:cs="Bookman Old Style"/>
                  <w:color w:val="000000"/>
                  <w:sz w:val="22"/>
                  <w:szCs w:val="22"/>
                </w:rPr>
                <w:t>3</w:t>
              </w:r>
            </w:hyperlink>
            <w:r w:rsidRPr="005D4760">
              <w:rPr>
                <w:rFonts w:ascii="Bookman Old Style" w:eastAsia="Bookman Old Style" w:hAnsi="Bookman Old Style" w:cs="Bookman Old Style"/>
                <w:color w:val="000000"/>
                <w:sz w:val="22"/>
                <w:szCs w:val="22"/>
              </w:rPr>
              <w:t xml:space="preserve">o del Código de la Infancia y </w:t>
            </w:r>
            <w:r w:rsidRPr="005D4760">
              <w:rPr>
                <w:rFonts w:ascii="Bookman Old Style" w:eastAsia="Bookman Old Style" w:hAnsi="Bookman Old Style" w:cs="Bookman Old Style"/>
                <w:color w:val="000000"/>
                <w:sz w:val="22"/>
                <w:szCs w:val="22"/>
              </w:rPr>
              <w:lastRenderedPageBreak/>
              <w:t xml:space="preserve">Adolescencia. De igual manera, el menor adulto se </w:t>
            </w:r>
            <w:proofErr w:type="gramStart"/>
            <w:r w:rsidRPr="005D4760">
              <w:rPr>
                <w:rFonts w:ascii="Bookman Old Style" w:eastAsia="Bookman Old Style" w:hAnsi="Bookman Old Style" w:cs="Bookman Old Style"/>
                <w:color w:val="000000"/>
                <w:sz w:val="22"/>
                <w:szCs w:val="22"/>
              </w:rPr>
              <w:t>equipara</w:t>
            </w:r>
            <w:proofErr w:type="gramEnd"/>
            <w:r w:rsidRPr="005D4760">
              <w:rPr>
                <w:rFonts w:ascii="Bookman Old Style" w:eastAsia="Bookman Old Style" w:hAnsi="Bookman Old Style" w:cs="Bookman Old Style"/>
                <w:color w:val="000000"/>
                <w:sz w:val="22"/>
                <w:szCs w:val="22"/>
              </w:rPr>
              <w:t xml:space="preserve"> al adolescente de ese estatuto.</w:t>
            </w:r>
          </w:p>
          <w:p w:rsidR="005D43C5" w:rsidRPr="005D4760" w:rsidRDefault="005D43C5" w:rsidP="005D4760">
            <w:pPr>
              <w:pStyle w:val="NormalWeb"/>
              <w:ind w:left="284" w:right="333"/>
              <w:jc w:val="both"/>
              <w:rPr>
                <w:rFonts w:ascii="Bookman Old Style" w:eastAsia="Bookman Old Style" w:hAnsi="Bookman Old Style" w:cs="Bookman Old Style"/>
                <w:color w:val="000000"/>
                <w:sz w:val="22"/>
                <w:szCs w:val="22"/>
              </w:rPr>
            </w:pPr>
            <w:r w:rsidRPr="005D4760">
              <w:rPr>
                <w:rFonts w:ascii="Bookman Old Style" w:eastAsia="Bookman Old Style" w:hAnsi="Bookman Old Style" w:cs="Bookman Old Style"/>
                <w:color w:val="000000"/>
                <w:sz w:val="22"/>
                <w:szCs w:val="22"/>
              </w:rPr>
              <w:t xml:space="preserve">Con todo, la edad mínima para contraer matrimonio </w:t>
            </w:r>
            <w:r w:rsidRPr="005D4760">
              <w:rPr>
                <w:rFonts w:ascii="Bookman Old Style" w:eastAsia="Bookman Old Style" w:hAnsi="Bookman Old Style" w:cs="Bookman Old Style"/>
                <w:color w:val="000000"/>
                <w:sz w:val="22"/>
                <w:szCs w:val="22"/>
                <w:u w:val="single"/>
              </w:rPr>
              <w:t>será de 16</w:t>
            </w:r>
            <w:r w:rsidRPr="005D4760">
              <w:rPr>
                <w:rFonts w:ascii="Bookman Old Style" w:eastAsia="Bookman Old Style" w:hAnsi="Bookman Old Style" w:cs="Bookman Old Style"/>
                <w:color w:val="000000"/>
                <w:sz w:val="22"/>
                <w:szCs w:val="22"/>
              </w:rPr>
              <w:t xml:space="preserve"> años, tanto para los varones como para las mujeres.</w:t>
            </w:r>
          </w:p>
          <w:p w:rsidR="005D43C5" w:rsidRPr="005D4760" w:rsidRDefault="005D43C5" w:rsidP="005D4760">
            <w:pPr>
              <w:jc w:val="both"/>
              <w:rPr>
                <w:rFonts w:ascii="Bookman Old Style" w:eastAsia="Bookman Old Style" w:hAnsi="Bookman Old Style" w:cs="Bookman Old Style"/>
                <w:b/>
                <w:color w:val="000000"/>
              </w:rPr>
            </w:pPr>
          </w:p>
        </w:tc>
        <w:tc>
          <w:tcPr>
            <w:tcW w:w="3191" w:type="dxa"/>
          </w:tcPr>
          <w:p w:rsidR="005D43C5" w:rsidRPr="005D4760" w:rsidRDefault="005D43C5" w:rsidP="005D4760">
            <w:pPr>
              <w:pBdr>
                <w:top w:val="nil"/>
                <w:left w:val="nil"/>
                <w:bottom w:val="nil"/>
                <w:right w:val="nil"/>
                <w:between w:val="nil"/>
              </w:pBdr>
              <w:spacing w:before="280" w:after="280"/>
              <w:ind w:right="333"/>
              <w:jc w:val="both"/>
              <w:rPr>
                <w:rFonts w:ascii="Bookman Old Style" w:eastAsia="Bookman Old Style" w:hAnsi="Bookman Old Style" w:cs="Bookman Old Style"/>
                <w:color w:val="000000"/>
              </w:rPr>
            </w:pPr>
            <w:r w:rsidRPr="005D4760">
              <w:rPr>
                <w:rFonts w:ascii="Bookman Old Style" w:eastAsia="Bookman Old Style" w:hAnsi="Bookman Old Style" w:cs="Bookman Old Style"/>
                <w:b/>
                <w:color w:val="000000"/>
              </w:rPr>
              <w:lastRenderedPageBreak/>
              <w:t xml:space="preserve">Artículo 5°. </w:t>
            </w:r>
            <w:r w:rsidRPr="005D4760">
              <w:rPr>
                <w:rFonts w:ascii="Bookman Old Style" w:eastAsia="Bookman Old Style" w:hAnsi="Bookman Old Style" w:cs="Bookman Old Style"/>
                <w:color w:val="000000"/>
              </w:rPr>
              <w:t xml:space="preserve">Modifíquese el inciso segundo del parágrafo del artículo 53 de la Ley 1306 de 2009, así: </w:t>
            </w:r>
          </w:p>
          <w:p w:rsidR="005D43C5" w:rsidRPr="005D4760" w:rsidRDefault="005D43C5" w:rsidP="005D4760">
            <w:pPr>
              <w:pStyle w:val="NormalWeb"/>
              <w:ind w:left="284" w:right="333"/>
              <w:jc w:val="both"/>
              <w:rPr>
                <w:rFonts w:ascii="Bookman Old Style" w:eastAsia="Bookman Old Style" w:hAnsi="Bookman Old Style" w:cs="Bookman Old Style"/>
                <w:color w:val="000000"/>
                <w:sz w:val="22"/>
                <w:szCs w:val="22"/>
              </w:rPr>
            </w:pPr>
            <w:r w:rsidRPr="005D4760">
              <w:rPr>
                <w:rFonts w:ascii="Bookman Old Style" w:eastAsia="Bookman Old Style" w:hAnsi="Bookman Old Style" w:cs="Bookman Old Style"/>
                <w:b/>
                <w:sz w:val="22"/>
                <w:szCs w:val="22"/>
              </w:rPr>
              <w:t>PARÁGRAFO.</w:t>
            </w:r>
            <w:r w:rsidRPr="005D4760">
              <w:rPr>
                <w:rFonts w:ascii="Bookman Old Style" w:eastAsia="Bookman Old Style" w:hAnsi="Bookman Old Style" w:cs="Bookman Old Style"/>
                <w:color w:val="000000"/>
                <w:sz w:val="22"/>
                <w:szCs w:val="22"/>
              </w:rPr>
              <w:t> Para todos los efectos legales el impúber se equipara al niño y niña definido en el artículo </w:t>
            </w:r>
            <w:hyperlink r:id="rId15" w:anchor="3" w:history="1">
              <w:r w:rsidRPr="005D4760">
                <w:rPr>
                  <w:rFonts w:ascii="Bookman Old Style" w:eastAsia="Bookman Old Style" w:hAnsi="Bookman Old Style" w:cs="Bookman Old Style"/>
                  <w:color w:val="000000"/>
                  <w:sz w:val="22"/>
                  <w:szCs w:val="22"/>
                </w:rPr>
                <w:t>3</w:t>
              </w:r>
            </w:hyperlink>
            <w:r w:rsidRPr="005D4760">
              <w:rPr>
                <w:rFonts w:ascii="Bookman Old Style" w:eastAsia="Bookman Old Style" w:hAnsi="Bookman Old Style" w:cs="Bookman Old Style"/>
                <w:color w:val="000000"/>
                <w:sz w:val="22"/>
                <w:szCs w:val="22"/>
              </w:rPr>
              <w:t xml:space="preserve">o del Código de la Infancia y </w:t>
            </w:r>
            <w:r w:rsidRPr="005D4760">
              <w:rPr>
                <w:rFonts w:ascii="Bookman Old Style" w:eastAsia="Bookman Old Style" w:hAnsi="Bookman Old Style" w:cs="Bookman Old Style"/>
                <w:color w:val="000000"/>
                <w:sz w:val="22"/>
                <w:szCs w:val="22"/>
              </w:rPr>
              <w:lastRenderedPageBreak/>
              <w:t xml:space="preserve">Adolescencia. De igual manera, el menor adulto se </w:t>
            </w:r>
            <w:proofErr w:type="gramStart"/>
            <w:r w:rsidRPr="005D4760">
              <w:rPr>
                <w:rFonts w:ascii="Bookman Old Style" w:eastAsia="Bookman Old Style" w:hAnsi="Bookman Old Style" w:cs="Bookman Old Style"/>
                <w:color w:val="000000"/>
                <w:sz w:val="22"/>
                <w:szCs w:val="22"/>
              </w:rPr>
              <w:t>equipara</w:t>
            </w:r>
            <w:proofErr w:type="gramEnd"/>
            <w:r w:rsidRPr="005D4760">
              <w:rPr>
                <w:rFonts w:ascii="Bookman Old Style" w:eastAsia="Bookman Old Style" w:hAnsi="Bookman Old Style" w:cs="Bookman Old Style"/>
                <w:color w:val="000000"/>
                <w:sz w:val="22"/>
                <w:szCs w:val="22"/>
              </w:rPr>
              <w:t xml:space="preserve"> al adolescente de ese estatuto.</w:t>
            </w:r>
          </w:p>
          <w:p w:rsidR="005D43C5" w:rsidRPr="005D4760" w:rsidRDefault="005D43C5" w:rsidP="005D4760">
            <w:pPr>
              <w:pStyle w:val="NormalWeb"/>
              <w:ind w:left="284" w:right="333"/>
              <w:jc w:val="both"/>
              <w:rPr>
                <w:rFonts w:ascii="Bookman Old Style" w:eastAsia="Bookman Old Style" w:hAnsi="Bookman Old Style" w:cs="Bookman Old Style"/>
                <w:color w:val="000000"/>
                <w:sz w:val="22"/>
                <w:szCs w:val="22"/>
              </w:rPr>
            </w:pPr>
            <w:r w:rsidRPr="005D4760">
              <w:rPr>
                <w:rFonts w:ascii="Bookman Old Style" w:eastAsia="Bookman Old Style" w:hAnsi="Bookman Old Style" w:cs="Bookman Old Style"/>
                <w:color w:val="000000"/>
                <w:sz w:val="22"/>
                <w:szCs w:val="22"/>
              </w:rPr>
              <w:t xml:space="preserve">Con todo, la edad mínima para contraer matrimonio </w:t>
            </w:r>
            <w:r w:rsidRPr="005D4760">
              <w:rPr>
                <w:rFonts w:ascii="Bookman Old Style" w:eastAsia="Bookman Old Style" w:hAnsi="Bookman Old Style" w:cs="Bookman Old Style"/>
                <w:color w:val="000000"/>
                <w:sz w:val="22"/>
                <w:szCs w:val="22"/>
                <w:u w:val="single"/>
              </w:rPr>
              <w:t>será de 16</w:t>
            </w:r>
            <w:r w:rsidRPr="005D4760">
              <w:rPr>
                <w:rFonts w:ascii="Bookman Old Style" w:eastAsia="Bookman Old Style" w:hAnsi="Bookman Old Style" w:cs="Bookman Old Style"/>
                <w:color w:val="000000"/>
                <w:sz w:val="22"/>
                <w:szCs w:val="22"/>
              </w:rPr>
              <w:t xml:space="preserve"> años, tanto para los varones como para las mujeres.</w:t>
            </w:r>
          </w:p>
          <w:p w:rsidR="005D43C5" w:rsidRPr="005D4760" w:rsidRDefault="005D43C5" w:rsidP="005D4760">
            <w:pPr>
              <w:jc w:val="both"/>
              <w:rPr>
                <w:rFonts w:ascii="Bookman Old Style" w:eastAsia="Bookman Old Style" w:hAnsi="Bookman Old Style" w:cs="Bookman Old Style"/>
                <w:b/>
                <w:color w:val="000000"/>
              </w:rPr>
            </w:pPr>
          </w:p>
        </w:tc>
        <w:tc>
          <w:tcPr>
            <w:tcW w:w="3190" w:type="dxa"/>
          </w:tcPr>
          <w:p w:rsidR="005D43C5" w:rsidRPr="005D4760" w:rsidRDefault="005D43C5" w:rsidP="005D4760">
            <w:pPr>
              <w:jc w:val="both"/>
              <w:rPr>
                <w:rFonts w:ascii="Bookman Old Style" w:eastAsia="Bookman Old Style" w:hAnsi="Bookman Old Style" w:cs="Bookman Old Style"/>
                <w:b/>
                <w:color w:val="000000"/>
              </w:rPr>
            </w:pPr>
          </w:p>
          <w:p w:rsidR="005D43C5" w:rsidRPr="005D4760" w:rsidRDefault="005D43C5" w:rsidP="005D4760">
            <w:pPr>
              <w:jc w:val="both"/>
              <w:rPr>
                <w:rFonts w:ascii="Bookman Old Style" w:eastAsia="Bookman Old Style" w:hAnsi="Bookman Old Style" w:cs="Bookman Old Style"/>
                <w:color w:val="000000"/>
              </w:rPr>
            </w:pPr>
            <w:r w:rsidRPr="005D4760">
              <w:rPr>
                <w:rFonts w:ascii="Bookman Old Style" w:eastAsia="Bookman Old Style" w:hAnsi="Bookman Old Style" w:cs="Bookman Old Style"/>
                <w:color w:val="000000"/>
              </w:rPr>
              <w:t>Sin cambios.</w:t>
            </w:r>
          </w:p>
        </w:tc>
      </w:tr>
      <w:tr w:rsidR="005D43C5" w:rsidRPr="005D4760" w:rsidTr="005D4760">
        <w:tc>
          <w:tcPr>
            <w:tcW w:w="3189" w:type="dxa"/>
          </w:tcPr>
          <w:p w:rsidR="005D43C5" w:rsidRPr="005D4760" w:rsidRDefault="005D43C5" w:rsidP="005D4760">
            <w:pPr>
              <w:pBdr>
                <w:top w:val="nil"/>
                <w:left w:val="nil"/>
                <w:bottom w:val="nil"/>
                <w:right w:val="nil"/>
                <w:between w:val="nil"/>
              </w:pBdr>
              <w:spacing w:before="280" w:after="280"/>
              <w:jc w:val="both"/>
              <w:rPr>
                <w:rFonts w:ascii="Bookman Old Style" w:eastAsia="Bookman Old Style" w:hAnsi="Bookman Old Style" w:cs="Bookman Old Style"/>
                <w:color w:val="000000"/>
              </w:rPr>
            </w:pPr>
            <w:r w:rsidRPr="005D4760">
              <w:rPr>
                <w:rFonts w:ascii="Bookman Old Style" w:eastAsia="Bookman Old Style" w:hAnsi="Bookman Old Style" w:cs="Bookman Old Style"/>
                <w:b/>
                <w:color w:val="000000"/>
              </w:rPr>
              <w:lastRenderedPageBreak/>
              <w:t xml:space="preserve">Artículo 6°.  </w:t>
            </w:r>
            <w:r w:rsidRPr="005D4760">
              <w:rPr>
                <w:rFonts w:ascii="Bookman Old Style" w:eastAsia="Bookman Old Style" w:hAnsi="Bookman Old Style" w:cs="Bookman Old Style"/>
                <w:color w:val="000000"/>
              </w:rPr>
              <w:t xml:space="preserve">Lo estipulado en el presente proyecto respetará los derechos, costumbres y tratamientos especiales que la legislación colombiana le otorga a las poblaciones indígenas.  </w:t>
            </w:r>
          </w:p>
          <w:p w:rsidR="005D43C5" w:rsidRPr="005D4760" w:rsidRDefault="005D43C5" w:rsidP="005D4760">
            <w:pPr>
              <w:jc w:val="both"/>
              <w:rPr>
                <w:rFonts w:ascii="Bookman Old Style" w:eastAsia="Bookman Old Style" w:hAnsi="Bookman Old Style" w:cs="Bookman Old Style"/>
                <w:b/>
                <w:color w:val="000000"/>
              </w:rPr>
            </w:pPr>
          </w:p>
        </w:tc>
        <w:tc>
          <w:tcPr>
            <w:tcW w:w="3191" w:type="dxa"/>
          </w:tcPr>
          <w:p w:rsidR="005D43C5" w:rsidRPr="005D4760" w:rsidRDefault="005D43C5" w:rsidP="005D4760">
            <w:pPr>
              <w:pBdr>
                <w:top w:val="nil"/>
                <w:left w:val="nil"/>
                <w:bottom w:val="nil"/>
                <w:right w:val="nil"/>
                <w:between w:val="nil"/>
              </w:pBdr>
              <w:spacing w:before="280" w:after="280"/>
              <w:jc w:val="both"/>
              <w:rPr>
                <w:rFonts w:ascii="Bookman Old Style" w:eastAsia="Bookman Old Style" w:hAnsi="Bookman Old Style" w:cs="Bookman Old Style"/>
                <w:color w:val="000000"/>
              </w:rPr>
            </w:pPr>
            <w:r w:rsidRPr="005D4760">
              <w:rPr>
                <w:rFonts w:ascii="Bookman Old Style" w:eastAsia="Bookman Old Style" w:hAnsi="Bookman Old Style" w:cs="Bookman Old Style"/>
                <w:b/>
                <w:color w:val="000000"/>
              </w:rPr>
              <w:t xml:space="preserve">Artículo 6°.  </w:t>
            </w:r>
            <w:r w:rsidRPr="005D4760">
              <w:rPr>
                <w:rFonts w:ascii="Bookman Old Style" w:eastAsia="Bookman Old Style" w:hAnsi="Bookman Old Style" w:cs="Bookman Old Style"/>
                <w:color w:val="000000"/>
              </w:rPr>
              <w:t xml:space="preserve">Lo estipulado en el presente proyecto respetará los derechos, costumbres y tratamientos especiales que la legislación colombiana le otorga a las poblaciones indígenas.  </w:t>
            </w:r>
          </w:p>
          <w:p w:rsidR="005D43C5" w:rsidRPr="005D4760" w:rsidRDefault="005D43C5" w:rsidP="005D4760">
            <w:pPr>
              <w:jc w:val="both"/>
              <w:rPr>
                <w:rFonts w:ascii="Bookman Old Style" w:eastAsia="Bookman Old Style" w:hAnsi="Bookman Old Style" w:cs="Bookman Old Style"/>
                <w:b/>
                <w:color w:val="000000"/>
              </w:rPr>
            </w:pPr>
          </w:p>
        </w:tc>
        <w:tc>
          <w:tcPr>
            <w:tcW w:w="3190" w:type="dxa"/>
          </w:tcPr>
          <w:p w:rsidR="005D43C5" w:rsidRPr="005D4760" w:rsidRDefault="005D43C5" w:rsidP="005D4760">
            <w:pPr>
              <w:jc w:val="both"/>
              <w:rPr>
                <w:rFonts w:ascii="Bookman Old Style" w:eastAsia="Bookman Old Style" w:hAnsi="Bookman Old Style" w:cs="Bookman Old Style"/>
                <w:b/>
                <w:color w:val="000000"/>
              </w:rPr>
            </w:pPr>
          </w:p>
          <w:p w:rsidR="005D43C5" w:rsidRPr="005D4760" w:rsidRDefault="005D43C5" w:rsidP="005D4760">
            <w:pPr>
              <w:jc w:val="both"/>
              <w:rPr>
                <w:rFonts w:ascii="Bookman Old Style" w:eastAsia="Bookman Old Style" w:hAnsi="Bookman Old Style" w:cs="Bookman Old Style"/>
                <w:color w:val="000000"/>
              </w:rPr>
            </w:pPr>
            <w:r w:rsidRPr="005D4760">
              <w:rPr>
                <w:rFonts w:ascii="Bookman Old Style" w:eastAsia="Bookman Old Style" w:hAnsi="Bookman Old Style" w:cs="Bookman Old Style"/>
                <w:color w:val="000000"/>
              </w:rPr>
              <w:t>Sin cambios.</w:t>
            </w:r>
          </w:p>
        </w:tc>
      </w:tr>
      <w:tr w:rsidR="005D43C5" w:rsidRPr="005D4760" w:rsidTr="005D4760">
        <w:trPr>
          <w:trHeight w:val="558"/>
        </w:trPr>
        <w:tc>
          <w:tcPr>
            <w:tcW w:w="3189" w:type="dxa"/>
          </w:tcPr>
          <w:p w:rsidR="005D43C5" w:rsidRPr="005D4760" w:rsidRDefault="005D43C5" w:rsidP="005D4760">
            <w:pPr>
              <w:pBdr>
                <w:top w:val="nil"/>
                <w:left w:val="nil"/>
                <w:bottom w:val="nil"/>
                <w:right w:val="nil"/>
                <w:between w:val="nil"/>
              </w:pBdr>
              <w:spacing w:before="280" w:after="280"/>
              <w:jc w:val="both"/>
              <w:rPr>
                <w:rFonts w:ascii="Bookman Old Style" w:eastAsia="Bookman Old Style" w:hAnsi="Bookman Old Style" w:cs="Bookman Old Style"/>
                <w:color w:val="000000"/>
              </w:rPr>
            </w:pPr>
            <w:r w:rsidRPr="005D4760">
              <w:rPr>
                <w:rFonts w:ascii="Bookman Old Style" w:eastAsia="Bookman Old Style" w:hAnsi="Bookman Old Style" w:cs="Bookman Old Style"/>
                <w:b/>
                <w:color w:val="000000"/>
              </w:rPr>
              <w:t xml:space="preserve">Artículo 7°. Vigencia y Derogatorias. </w:t>
            </w:r>
            <w:r w:rsidRPr="005D4760">
              <w:rPr>
                <w:rFonts w:ascii="Bookman Old Style" w:eastAsia="Bookman Old Style" w:hAnsi="Bookman Old Style" w:cs="Bookman Old Style"/>
                <w:color w:val="000000"/>
              </w:rPr>
              <w:t xml:space="preserve">La presente ley deroga las disposiciones que le sean contrarias y rige a partir de la fecha de su promulgación. </w:t>
            </w:r>
          </w:p>
        </w:tc>
        <w:tc>
          <w:tcPr>
            <w:tcW w:w="3191" w:type="dxa"/>
          </w:tcPr>
          <w:p w:rsidR="005D43C5" w:rsidRPr="005D4760" w:rsidRDefault="005D43C5" w:rsidP="005D4760">
            <w:pPr>
              <w:pBdr>
                <w:top w:val="nil"/>
                <w:left w:val="nil"/>
                <w:bottom w:val="nil"/>
                <w:right w:val="nil"/>
                <w:between w:val="nil"/>
              </w:pBdr>
              <w:spacing w:before="280" w:after="280"/>
              <w:jc w:val="both"/>
              <w:rPr>
                <w:rFonts w:ascii="Bookman Old Style" w:eastAsia="Bookman Old Style" w:hAnsi="Bookman Old Style" w:cs="Bookman Old Style"/>
                <w:color w:val="000000"/>
              </w:rPr>
            </w:pPr>
            <w:r w:rsidRPr="005D4760">
              <w:rPr>
                <w:rFonts w:ascii="Bookman Old Style" w:eastAsia="Bookman Old Style" w:hAnsi="Bookman Old Style" w:cs="Bookman Old Style"/>
                <w:b/>
                <w:color w:val="000000"/>
              </w:rPr>
              <w:t xml:space="preserve">Artículo 7°. Vigencia y Derogatorias. </w:t>
            </w:r>
            <w:r w:rsidRPr="005D4760">
              <w:rPr>
                <w:rFonts w:ascii="Bookman Old Style" w:eastAsia="Bookman Old Style" w:hAnsi="Bookman Old Style" w:cs="Bookman Old Style"/>
                <w:color w:val="000000"/>
              </w:rPr>
              <w:t xml:space="preserve">La presente ley deroga las disposiciones que le sean contrarias y rige a partir de la fecha de su promulgación. </w:t>
            </w:r>
          </w:p>
        </w:tc>
        <w:tc>
          <w:tcPr>
            <w:tcW w:w="3190" w:type="dxa"/>
          </w:tcPr>
          <w:p w:rsidR="005D43C5" w:rsidRPr="005D4760" w:rsidRDefault="005D43C5" w:rsidP="005D4760">
            <w:pPr>
              <w:jc w:val="both"/>
              <w:rPr>
                <w:rFonts w:ascii="Bookman Old Style" w:eastAsia="Bookman Old Style" w:hAnsi="Bookman Old Style" w:cs="Bookman Old Style"/>
                <w:b/>
                <w:color w:val="000000"/>
              </w:rPr>
            </w:pPr>
          </w:p>
          <w:p w:rsidR="005D43C5" w:rsidRPr="005D4760" w:rsidRDefault="005D43C5" w:rsidP="005D4760">
            <w:pPr>
              <w:jc w:val="both"/>
              <w:rPr>
                <w:rFonts w:ascii="Bookman Old Style" w:eastAsia="Bookman Old Style" w:hAnsi="Bookman Old Style" w:cs="Bookman Old Style"/>
                <w:color w:val="000000"/>
              </w:rPr>
            </w:pPr>
            <w:r w:rsidRPr="005D4760">
              <w:rPr>
                <w:rFonts w:ascii="Bookman Old Style" w:eastAsia="Bookman Old Style" w:hAnsi="Bookman Old Style" w:cs="Bookman Old Style"/>
                <w:color w:val="000000"/>
              </w:rPr>
              <w:t>S</w:t>
            </w:r>
            <w:r w:rsidR="005D4760" w:rsidRPr="005D4760">
              <w:rPr>
                <w:rFonts w:ascii="Bookman Old Style" w:eastAsia="Bookman Old Style" w:hAnsi="Bookman Old Style" w:cs="Bookman Old Style"/>
                <w:color w:val="000000"/>
              </w:rPr>
              <w:t>i</w:t>
            </w:r>
            <w:r w:rsidRPr="005D4760">
              <w:rPr>
                <w:rFonts w:ascii="Bookman Old Style" w:eastAsia="Bookman Old Style" w:hAnsi="Bookman Old Style" w:cs="Bookman Old Style"/>
                <w:color w:val="000000"/>
              </w:rPr>
              <w:t>n cambios.</w:t>
            </w:r>
          </w:p>
        </w:tc>
      </w:tr>
    </w:tbl>
    <w:p w:rsidR="005D43C5" w:rsidRPr="005D43C5" w:rsidRDefault="005D43C5" w:rsidP="005D43C5">
      <w:pPr>
        <w:jc w:val="both"/>
        <w:rPr>
          <w:rFonts w:ascii="Bookman Old Style" w:eastAsia="Bookman Old Style" w:hAnsi="Bookman Old Style" w:cs="Bookman Old Style"/>
          <w:b/>
          <w:color w:val="000000"/>
          <w:sz w:val="24"/>
          <w:szCs w:val="24"/>
        </w:rPr>
      </w:pPr>
    </w:p>
    <w:p w:rsidR="00AF2075" w:rsidRPr="00AF2075" w:rsidRDefault="00AF2075" w:rsidP="00AF2075">
      <w:pPr>
        <w:pStyle w:val="Prrafodelista"/>
        <w:widowControl/>
        <w:numPr>
          <w:ilvl w:val="0"/>
          <w:numId w:val="3"/>
        </w:numPr>
        <w:pBdr>
          <w:top w:val="nil"/>
          <w:left w:val="nil"/>
          <w:bottom w:val="nil"/>
          <w:right w:val="nil"/>
          <w:between w:val="nil"/>
        </w:pBdr>
        <w:autoSpaceDE/>
        <w:autoSpaceDN/>
        <w:spacing w:before="280" w:after="280" w:line="259" w:lineRule="auto"/>
        <w:jc w:val="both"/>
        <w:rPr>
          <w:rFonts w:ascii="Bookman Old Style" w:eastAsia="Bookman Old Style" w:hAnsi="Bookman Old Style" w:cs="Bookman Old Style"/>
          <w:b/>
          <w:sz w:val="24"/>
        </w:rPr>
      </w:pPr>
      <w:r w:rsidRPr="00AF2075">
        <w:rPr>
          <w:rFonts w:ascii="Bookman Old Style" w:eastAsia="Bookman Old Style" w:hAnsi="Bookman Old Style" w:cs="Bookman Old Style"/>
          <w:b/>
          <w:sz w:val="24"/>
        </w:rPr>
        <w:t>NECESIDAD DEL PROYECTO</w:t>
      </w:r>
    </w:p>
    <w:p w:rsidR="00AF2075" w:rsidRPr="00AF2075" w:rsidRDefault="00AF2075" w:rsidP="00AF2075">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AF2075">
        <w:rPr>
          <w:rFonts w:ascii="Bookman Old Style" w:eastAsia="Bookman Old Style" w:hAnsi="Bookman Old Style" w:cs="Bookman Old Style"/>
          <w:sz w:val="24"/>
        </w:rPr>
        <w:t>Un estudio publicado por la ONU y el Banco Mundial mostraron que México con el 25,4% y Colombia con el 25% son los países de la OCDE con peores cifras de embarazo adolescente.</w:t>
      </w:r>
    </w:p>
    <w:p w:rsidR="00AF2075" w:rsidRPr="00AF2075" w:rsidRDefault="00AF2075" w:rsidP="00AF2075">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AF2075">
        <w:rPr>
          <w:rFonts w:ascii="Bookman Old Style" w:eastAsia="Bookman Old Style" w:hAnsi="Bookman Old Style" w:cs="Bookman Old Style"/>
          <w:sz w:val="24"/>
        </w:rPr>
        <w:t>El DANE año tras año muestra en miles los casos de embarazo adolescente en el país y, en menor proporción, sin dejar de ser en miles, los casos de niñas entre los 10 y 14 años que se convierten en madres.</w:t>
      </w:r>
    </w:p>
    <w:p w:rsidR="00AF2075" w:rsidRPr="00AF2075" w:rsidRDefault="00AF2075" w:rsidP="00AF2075">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AF2075">
        <w:rPr>
          <w:rFonts w:ascii="Bookman Old Style" w:eastAsia="Bookman Old Style" w:hAnsi="Bookman Old Style" w:cs="Bookman Old Style"/>
          <w:sz w:val="24"/>
        </w:rPr>
        <w:t xml:space="preserve">Las estadísticas conocidas con anterioridad dejan en claro que en la gran mayoría </w:t>
      </w:r>
      <w:r w:rsidRPr="00AF2075">
        <w:rPr>
          <w:rFonts w:ascii="Bookman Old Style" w:eastAsia="Bookman Old Style" w:hAnsi="Bookman Old Style" w:cs="Bookman Old Style"/>
          <w:sz w:val="24"/>
        </w:rPr>
        <w:lastRenderedPageBreak/>
        <w:t>de los casos los padres de esos bebés son mayores de edad, y que en casi el 7% de los casos superan los 30 años.</w:t>
      </w:r>
    </w:p>
    <w:p w:rsidR="00AF2075" w:rsidRPr="00AF2075" w:rsidRDefault="00AF2075" w:rsidP="00AF2075">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AF2075">
        <w:rPr>
          <w:rFonts w:ascii="Bookman Old Style" w:eastAsia="Bookman Old Style" w:hAnsi="Bookman Old Style" w:cs="Bookman Old Style"/>
          <w:sz w:val="24"/>
        </w:rPr>
        <w:t>La realidad del país muestra que el tener la edad de 14 años para el consentimiento sexual abre las puertas para que niñas y adolescentes queden desprotegidos y pasen a engrosar la larga lista de niñas que, sin tener la formación física e intelectual y aun estando en edad de formación quedan en estado de embarazo, con todas las repercusiones negativas que esto trae.</w:t>
      </w:r>
    </w:p>
    <w:p w:rsidR="00AF2075" w:rsidRPr="00AF2075" w:rsidRDefault="00AF2075" w:rsidP="00AF2075">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AF2075">
        <w:rPr>
          <w:rFonts w:ascii="Bookman Old Style" w:eastAsia="Bookman Old Style" w:hAnsi="Bookman Old Style" w:cs="Bookman Old Style"/>
          <w:sz w:val="24"/>
        </w:rPr>
        <w:t xml:space="preserve">Países de la Unión Europea como España o Francia, y desde otros alejados puntos de la geografía como Filipinas o Japón y otros tantos, han sido consientes de la necesidad de establecer una mayor protección a los menores, decidiendo aumentar la edad para que los mismos den su consentimiento para iniciar su vida sexual.  </w:t>
      </w:r>
    </w:p>
    <w:p w:rsidR="00AF2075" w:rsidRPr="00AF2075" w:rsidRDefault="00AF2075" w:rsidP="00AF2075">
      <w:pPr>
        <w:pBdr>
          <w:top w:val="nil"/>
          <w:left w:val="nil"/>
          <w:bottom w:val="nil"/>
          <w:right w:val="nil"/>
          <w:between w:val="nil"/>
        </w:pBdr>
        <w:spacing w:before="280" w:after="280" w:line="276" w:lineRule="auto"/>
        <w:jc w:val="both"/>
        <w:rPr>
          <w:rFonts w:ascii="Bookman Old Style" w:eastAsia="Bookman Old Style" w:hAnsi="Bookman Old Style" w:cs="Bookman Old Style"/>
          <w:sz w:val="24"/>
        </w:rPr>
      </w:pPr>
      <w:r w:rsidRPr="00AF2075">
        <w:rPr>
          <w:rFonts w:ascii="Bookman Old Style" w:eastAsia="Bookman Old Style" w:hAnsi="Bookman Old Style" w:cs="Bookman Old Style"/>
          <w:sz w:val="24"/>
        </w:rPr>
        <w:t>Colombia, un país con cifras bastante preocupantes, deben ser capaz de tomar este tipo de decisiones firmes y valientes en procura de brindar mayor protección a los menores y a los jóvenes como herramienta que mejore las cifras de deserción escolar, de embarazos adolescentes, de enfermedades de transmisión sexual y asegure en un gran porcentaje el desarrollo de los menores, endureciendo los tipos penales con los cuales se castiga a los ciudadanos que, aprovechándose de su posición, acceden a las menores, aclarando que la propuesta trae consigo un tratamiento diferenciado para aquellos casos en los cuales los sujetos estén en un mismo estadio y desarrollo físico y cognitivo.</w:t>
      </w:r>
    </w:p>
    <w:p w:rsidR="003B03D9" w:rsidRDefault="00AF2075" w:rsidP="00AF2075">
      <w:pPr>
        <w:pBdr>
          <w:top w:val="nil"/>
          <w:left w:val="nil"/>
          <w:bottom w:val="nil"/>
          <w:right w:val="nil"/>
          <w:between w:val="nil"/>
        </w:pBdr>
        <w:spacing w:before="280" w:after="280" w:line="276" w:lineRule="auto"/>
        <w:jc w:val="both"/>
        <w:rPr>
          <w:rFonts w:ascii="Bookman Old Style" w:eastAsia="Bookman Old Style" w:hAnsi="Bookman Old Style" w:cs="Bookman Old Style"/>
          <w:color w:val="000000" w:themeColor="text1"/>
          <w:sz w:val="24"/>
        </w:rPr>
      </w:pPr>
      <w:r w:rsidRPr="00AF2075">
        <w:rPr>
          <w:rFonts w:ascii="Bookman Old Style" w:eastAsia="Bookman Old Style" w:hAnsi="Bookman Old Style" w:cs="Bookman Old Style"/>
          <w:color w:val="000000" w:themeColor="text1"/>
          <w:sz w:val="24"/>
        </w:rPr>
        <w:t>Con todo lo mostrado hasta aquí y a manera de conclusión, a la pregunta de a qué edad se debe establecer el consentimiento sexual se puede responder desde diferentes ópticas: basada en fundamentos de las ciencias de la salud; en la edad en la que en la mayoría de los casos se alcanza una maduración sexual biológica; desde la costumbre; o desde el derecho. Por lo anterior, no existe un criterio claro ni uniforme en las legislaciones para determinar una edad aceptada por todos. Sin embargo, llama la atención que la edad de 18 años (que no es lo que trae el proyecto original puesto a consideración) es la que </w:t>
      </w:r>
      <w:r w:rsidRPr="00AF2075">
        <w:rPr>
          <w:rFonts w:ascii="Bookman Old Style" w:eastAsia="Bookman Old Style" w:hAnsi="Bookman Old Style" w:cs="Bookman Old Style"/>
          <w:bCs/>
          <w:color w:val="000000" w:themeColor="text1"/>
          <w:sz w:val="24"/>
        </w:rPr>
        <w:t>se fija en la mayoría de las legislaciones para limitar otras conductas </w:t>
      </w:r>
      <w:r w:rsidRPr="00AF2075">
        <w:rPr>
          <w:rFonts w:ascii="Bookman Old Style" w:eastAsia="Bookman Old Style" w:hAnsi="Bookman Old Style" w:cs="Bookman Old Style"/>
          <w:color w:val="000000" w:themeColor="text1"/>
          <w:sz w:val="24"/>
        </w:rPr>
        <w:t>que también pueden poner en riesgo la salud de los menores, como es el caso de los cigarrillos, consumir bebidas alcohólicas, conducir toda clase de vehículos o entrar a ciertos establecimientos, solo por mencionar algunas.</w:t>
      </w:r>
    </w:p>
    <w:p w:rsidR="005D4760" w:rsidRDefault="005D4760" w:rsidP="00AF2075">
      <w:pPr>
        <w:pBdr>
          <w:top w:val="nil"/>
          <w:left w:val="nil"/>
          <w:bottom w:val="nil"/>
          <w:right w:val="nil"/>
          <w:between w:val="nil"/>
        </w:pBdr>
        <w:spacing w:before="280" w:after="280" w:line="276" w:lineRule="auto"/>
        <w:jc w:val="both"/>
        <w:rPr>
          <w:rFonts w:ascii="Bookman Old Style" w:eastAsia="Bookman Old Style" w:hAnsi="Bookman Old Style" w:cs="Bookman Old Style"/>
          <w:color w:val="000000" w:themeColor="text1"/>
          <w:sz w:val="24"/>
        </w:rPr>
      </w:pPr>
    </w:p>
    <w:p w:rsidR="005D4760" w:rsidRPr="00AF2075" w:rsidRDefault="005D4760" w:rsidP="00AF2075">
      <w:pPr>
        <w:pBdr>
          <w:top w:val="nil"/>
          <w:left w:val="nil"/>
          <w:bottom w:val="nil"/>
          <w:right w:val="nil"/>
          <w:between w:val="nil"/>
        </w:pBdr>
        <w:spacing w:before="280" w:after="280" w:line="276" w:lineRule="auto"/>
        <w:jc w:val="both"/>
        <w:rPr>
          <w:rFonts w:ascii="Bookman Old Style" w:eastAsia="Bookman Old Style" w:hAnsi="Bookman Old Style" w:cs="Bookman Old Style"/>
          <w:color w:val="000000" w:themeColor="text1"/>
          <w:sz w:val="24"/>
        </w:rPr>
      </w:pPr>
    </w:p>
    <w:p w:rsidR="003B03D9" w:rsidRPr="00166D5B" w:rsidRDefault="003B03D9" w:rsidP="003B03D9">
      <w:pPr>
        <w:pStyle w:val="Prrafodelista"/>
        <w:numPr>
          <w:ilvl w:val="0"/>
          <w:numId w:val="3"/>
        </w:numPr>
        <w:jc w:val="both"/>
        <w:rPr>
          <w:rFonts w:ascii="Bookman Old Style" w:eastAsia="Bookman Old Style" w:hAnsi="Bookman Old Style" w:cs="Bookman Old Style"/>
          <w:b/>
          <w:bCs/>
          <w:color w:val="000000"/>
          <w:sz w:val="24"/>
          <w:szCs w:val="24"/>
        </w:rPr>
      </w:pPr>
      <w:r w:rsidRPr="00166D5B">
        <w:rPr>
          <w:rFonts w:ascii="Bookman Old Style" w:eastAsia="Bookman Old Style" w:hAnsi="Bookman Old Style" w:cs="Bookman Old Style"/>
          <w:b/>
          <w:bCs/>
          <w:color w:val="000000"/>
          <w:sz w:val="24"/>
          <w:szCs w:val="24"/>
        </w:rPr>
        <w:lastRenderedPageBreak/>
        <w:t>IMPACTO FISCAL</w:t>
      </w:r>
    </w:p>
    <w:p w:rsidR="003B03D9" w:rsidRPr="00166D5B" w:rsidRDefault="003B03D9" w:rsidP="003B03D9">
      <w:pPr>
        <w:jc w:val="both"/>
        <w:rPr>
          <w:rFonts w:ascii="Bookman Old Style" w:eastAsia="Bookman Old Style" w:hAnsi="Bookman Old Style" w:cs="Bookman Old Style"/>
          <w:color w:val="000000"/>
          <w:sz w:val="24"/>
          <w:szCs w:val="24"/>
        </w:rPr>
      </w:pPr>
    </w:p>
    <w:p w:rsidR="003B03D9" w:rsidRDefault="003B03D9" w:rsidP="003B03D9">
      <w:pPr>
        <w:spacing w:line="276" w:lineRule="auto"/>
        <w:jc w:val="both"/>
        <w:rPr>
          <w:rFonts w:ascii="Bookman Old Style" w:eastAsia="Bookman Old Style" w:hAnsi="Bookman Old Style" w:cs="Bookman Old Style"/>
          <w:color w:val="000000"/>
          <w:sz w:val="24"/>
          <w:szCs w:val="24"/>
        </w:rPr>
      </w:pPr>
      <w:r>
        <w:rPr>
          <w:rFonts w:ascii="Bookman Old Style" w:eastAsia="Bookman Old Style" w:hAnsi="Bookman Old Style" w:cs="Bookman Old Style"/>
          <w:color w:val="000000"/>
          <w:sz w:val="24"/>
          <w:szCs w:val="24"/>
        </w:rPr>
        <w:t xml:space="preserve">En el articulado del proyecto </w:t>
      </w:r>
      <w:r w:rsidR="00AF2075">
        <w:rPr>
          <w:rFonts w:ascii="Bookman Old Style" w:eastAsia="Bookman Old Style" w:hAnsi="Bookman Old Style" w:cs="Bookman Old Style"/>
          <w:color w:val="000000"/>
          <w:sz w:val="24"/>
          <w:szCs w:val="24"/>
        </w:rPr>
        <w:t xml:space="preserve">no se observa disposición </w:t>
      </w:r>
      <w:r w:rsidR="006A571E">
        <w:rPr>
          <w:rFonts w:ascii="Bookman Old Style" w:eastAsia="Bookman Old Style" w:hAnsi="Bookman Old Style" w:cs="Bookman Old Style"/>
          <w:color w:val="000000"/>
          <w:sz w:val="24"/>
          <w:szCs w:val="24"/>
        </w:rPr>
        <w:t>algun</w:t>
      </w:r>
      <w:r w:rsidR="00AF2075">
        <w:rPr>
          <w:rFonts w:ascii="Bookman Old Style" w:eastAsia="Bookman Old Style" w:hAnsi="Bookman Old Style" w:cs="Bookman Old Style"/>
          <w:color w:val="000000"/>
          <w:sz w:val="24"/>
          <w:szCs w:val="24"/>
        </w:rPr>
        <w:t xml:space="preserve">a que represente un impacto fiscal que obligue, dentro del trámite del mismo, </w:t>
      </w:r>
      <w:r w:rsidR="006A571E">
        <w:rPr>
          <w:rFonts w:ascii="Bookman Old Style" w:eastAsia="Bookman Old Style" w:hAnsi="Bookman Old Style" w:cs="Bookman Old Style"/>
          <w:color w:val="000000"/>
          <w:sz w:val="24"/>
          <w:szCs w:val="24"/>
        </w:rPr>
        <w:t xml:space="preserve">a </w:t>
      </w:r>
      <w:r w:rsidR="00AF2075">
        <w:rPr>
          <w:rFonts w:ascii="Bookman Old Style" w:eastAsia="Bookman Old Style" w:hAnsi="Bookman Old Style" w:cs="Bookman Old Style"/>
          <w:color w:val="000000"/>
          <w:sz w:val="24"/>
          <w:szCs w:val="24"/>
        </w:rPr>
        <w:t>solicitar a la cartera de hacienda nacional un estudio sobre el particular, por lo que</w:t>
      </w:r>
      <w:r>
        <w:rPr>
          <w:rFonts w:ascii="Bookman Old Style" w:eastAsia="Bookman Old Style" w:hAnsi="Bookman Old Style" w:cs="Bookman Old Style"/>
          <w:color w:val="000000"/>
          <w:sz w:val="24"/>
          <w:szCs w:val="24"/>
        </w:rPr>
        <w:t>, en el marco de las normas vigentes y aplicables, se pude seguir con el debate, estudio y aprobación de la iniciativa</w:t>
      </w:r>
      <w:r w:rsidR="006A571E">
        <w:rPr>
          <w:rFonts w:ascii="Bookman Old Style" w:eastAsia="Bookman Old Style" w:hAnsi="Bookman Old Style" w:cs="Bookman Old Style"/>
          <w:color w:val="000000"/>
          <w:sz w:val="24"/>
          <w:szCs w:val="24"/>
        </w:rPr>
        <w:t>.</w:t>
      </w:r>
      <w:r>
        <w:rPr>
          <w:rFonts w:ascii="Bookman Old Style" w:eastAsia="Bookman Old Style" w:hAnsi="Bookman Old Style" w:cs="Bookman Old Style"/>
          <w:color w:val="000000"/>
          <w:sz w:val="24"/>
          <w:szCs w:val="24"/>
        </w:rPr>
        <w:t xml:space="preserve"> </w:t>
      </w:r>
    </w:p>
    <w:p w:rsidR="003B03D9" w:rsidRDefault="003B03D9" w:rsidP="003B03D9">
      <w:pPr>
        <w:jc w:val="both"/>
        <w:rPr>
          <w:rFonts w:ascii="Bookman Old Style" w:eastAsia="Bookman Old Style" w:hAnsi="Bookman Old Style" w:cs="Bookman Old Style"/>
          <w:color w:val="000000"/>
          <w:sz w:val="24"/>
          <w:szCs w:val="24"/>
        </w:rPr>
      </w:pPr>
    </w:p>
    <w:p w:rsidR="003B03D9" w:rsidRPr="003757DA" w:rsidRDefault="003B03D9" w:rsidP="003B03D9">
      <w:pPr>
        <w:numPr>
          <w:ilvl w:val="0"/>
          <w:numId w:val="3"/>
        </w:numPr>
        <w:pBdr>
          <w:top w:val="nil"/>
          <w:left w:val="nil"/>
          <w:bottom w:val="nil"/>
          <w:right w:val="nil"/>
          <w:between w:val="nil"/>
        </w:pBdr>
        <w:jc w:val="both"/>
        <w:rPr>
          <w:rFonts w:ascii="Bookman Old Style" w:eastAsia="Bookman Old Style" w:hAnsi="Bookman Old Style" w:cs="Bookman Old Style"/>
          <w:b/>
          <w:color w:val="000000"/>
          <w:sz w:val="24"/>
          <w:szCs w:val="24"/>
        </w:rPr>
      </w:pPr>
      <w:r w:rsidRPr="003757DA">
        <w:rPr>
          <w:rFonts w:ascii="Bookman Old Style" w:eastAsia="Bookman Old Style" w:hAnsi="Bookman Old Style" w:cs="Bookman Old Style"/>
          <w:b/>
          <w:color w:val="000000"/>
          <w:sz w:val="24"/>
          <w:szCs w:val="24"/>
        </w:rPr>
        <w:t>CONFLICTO DE INTERESES</w:t>
      </w:r>
    </w:p>
    <w:p w:rsidR="003B03D9" w:rsidRDefault="003B03D9" w:rsidP="003B03D9">
      <w:pPr>
        <w:jc w:val="both"/>
        <w:rPr>
          <w:rFonts w:ascii="Bookman Old Style" w:eastAsia="Bookman Old Style" w:hAnsi="Bookman Old Style" w:cs="Bookman Old Style"/>
          <w:b/>
          <w:color w:val="000000"/>
          <w:sz w:val="24"/>
          <w:szCs w:val="24"/>
        </w:rPr>
      </w:pPr>
    </w:p>
    <w:p w:rsidR="003B03D9" w:rsidRDefault="003B03D9" w:rsidP="003B03D9">
      <w:pPr>
        <w:tabs>
          <w:tab w:val="left" w:pos="7680"/>
        </w:tabs>
        <w:spacing w:line="276" w:lineRule="auto"/>
        <w:jc w:val="both"/>
        <w:rPr>
          <w:rFonts w:ascii="Bookman Old Style" w:hAnsi="Bookman Old Style"/>
          <w:sz w:val="24"/>
        </w:rPr>
      </w:pPr>
      <w:r w:rsidRPr="008365B8">
        <w:rPr>
          <w:rFonts w:ascii="Bookman Old Style" w:hAnsi="Bookman Old Style"/>
          <w:sz w:val="24"/>
        </w:rPr>
        <w:t xml:space="preserve">De acuerdo con el artículo 291 de la Ley 5ª de 1992 -Reglamento Interno del Congreso- modificado por el artículo 3° de la Ley 2003 de 2019, establece que: “el autor del proyecto y el ponente presentarán en el cuerpo de la exposición de motivos un acápite que describa las circunstancias o eventos que podrían generar un conflicto de interés para la discusión y votación del proyecto, de acuerdo con el artículo 286. Estos serán criterios guías para que los otros congresistas tomen una decisión en torno a si se encuentran en una causal de impedimento, no obstante, otras causales que el Congresista pueda encontrar”. </w:t>
      </w:r>
    </w:p>
    <w:p w:rsidR="003B03D9" w:rsidRPr="008365B8" w:rsidRDefault="003B03D9" w:rsidP="003B03D9">
      <w:pPr>
        <w:tabs>
          <w:tab w:val="left" w:pos="7680"/>
        </w:tabs>
        <w:spacing w:line="276" w:lineRule="auto"/>
        <w:jc w:val="both"/>
        <w:rPr>
          <w:rFonts w:ascii="Bookman Old Style" w:hAnsi="Bookman Old Style"/>
          <w:sz w:val="24"/>
        </w:rPr>
      </w:pPr>
    </w:p>
    <w:p w:rsidR="003B03D9" w:rsidRDefault="003B03D9" w:rsidP="003B03D9">
      <w:pPr>
        <w:tabs>
          <w:tab w:val="left" w:pos="7680"/>
        </w:tabs>
        <w:spacing w:line="276" w:lineRule="auto"/>
        <w:jc w:val="both"/>
        <w:rPr>
          <w:rFonts w:ascii="Bookman Old Style" w:hAnsi="Bookman Old Style"/>
          <w:sz w:val="24"/>
        </w:rPr>
      </w:pPr>
      <w:r w:rsidRPr="008365B8">
        <w:rPr>
          <w:rFonts w:ascii="Bookman Old Style" w:hAnsi="Bookman Old Style"/>
          <w:sz w:val="24"/>
        </w:rPr>
        <w:t xml:space="preserve">De igual manera, el artículo 286 de la norma en comento, modificado por el artículo 1° de la Ley 2003 de 2019, define el conflicto de interés como la “situación donde la discusión o votación de un proyecto de ley o acto legislativo o artículo, pueda resultar en un beneficio particular, actual y directo a favor del congresista”. </w:t>
      </w:r>
    </w:p>
    <w:p w:rsidR="00AF2075" w:rsidRPr="008365B8" w:rsidRDefault="00AF2075" w:rsidP="003B03D9">
      <w:pPr>
        <w:tabs>
          <w:tab w:val="left" w:pos="7680"/>
        </w:tabs>
        <w:spacing w:line="276" w:lineRule="auto"/>
        <w:jc w:val="both"/>
        <w:rPr>
          <w:rFonts w:ascii="Bookman Old Style" w:hAnsi="Bookman Old Style"/>
          <w:sz w:val="24"/>
        </w:rPr>
      </w:pPr>
    </w:p>
    <w:p w:rsidR="003B03D9" w:rsidRDefault="003B03D9" w:rsidP="003B03D9">
      <w:pPr>
        <w:widowControl/>
        <w:pBdr>
          <w:top w:val="nil"/>
          <w:left w:val="nil"/>
          <w:bottom w:val="nil"/>
          <w:right w:val="nil"/>
          <w:between w:val="nil"/>
        </w:pBdr>
        <w:spacing w:line="276" w:lineRule="auto"/>
        <w:jc w:val="both"/>
        <w:rPr>
          <w:rFonts w:ascii="Bookman Old Style" w:eastAsia="Bookman Old Style" w:hAnsi="Bookman Old Style" w:cs="Bookman Old Style"/>
          <w:color w:val="000000"/>
          <w:sz w:val="24"/>
          <w:szCs w:val="24"/>
        </w:rPr>
      </w:pPr>
      <w:r w:rsidRPr="008365B8">
        <w:rPr>
          <w:rFonts w:ascii="Bookman Old Style" w:hAnsi="Bookman Old Style"/>
          <w:sz w:val="24"/>
        </w:rPr>
        <w:t>Con base en lo anterior y, de acuerdo al carácter abstracto e impersonal de la norma, tenemos que en esta iniciativa legislativa</w:t>
      </w:r>
      <w:r w:rsidRPr="008365B8">
        <w:rPr>
          <w:rFonts w:ascii="Bookman Old Style" w:hAnsi="Bookman Old Style"/>
          <w:sz w:val="24"/>
          <w:u w:val="single"/>
        </w:rPr>
        <w:t xml:space="preserve"> no se evidencia</w:t>
      </w:r>
      <w:r w:rsidRPr="008365B8">
        <w:rPr>
          <w:rFonts w:ascii="Bookman Old Style" w:hAnsi="Bookman Old Style"/>
          <w:sz w:val="24"/>
        </w:rPr>
        <w:t xml:space="preserve"> que los congresistas puedan incurrir en posibles conflictos de interés, toda vez que tampoco puede predicarse un beneficio particular, actual y directo que les impida participar de la discusión y votación de este proyecto. Lo anterior, sin perjuicio del deber de los congresistas de examinar, en cada caso en concreto, la existencia de posibles hechos generadores de conflictos de interés, en cuyo evento deberán declararlos de conformidad con lo dispuesto en el inciso 1° del artículo 286 ibídem: “Todos los congresistas deberán declarar los conflictos de intereses que pudieran surgir en ejercicio de sus funciones”.</w:t>
      </w:r>
    </w:p>
    <w:p w:rsidR="003B03D9" w:rsidRDefault="003B03D9" w:rsidP="003B03D9">
      <w:pPr>
        <w:widowControl/>
        <w:pBdr>
          <w:top w:val="nil"/>
          <w:left w:val="nil"/>
          <w:bottom w:val="nil"/>
          <w:right w:val="nil"/>
          <w:between w:val="nil"/>
        </w:pBdr>
        <w:spacing w:line="276" w:lineRule="auto"/>
        <w:jc w:val="both"/>
        <w:rPr>
          <w:rFonts w:ascii="Bookman Old Style" w:eastAsia="Bookman Old Style" w:hAnsi="Bookman Old Style" w:cs="Bookman Old Style"/>
          <w:color w:val="000000"/>
          <w:sz w:val="24"/>
          <w:szCs w:val="24"/>
        </w:rPr>
      </w:pPr>
    </w:p>
    <w:p w:rsidR="003B03D9" w:rsidRPr="003757DA" w:rsidRDefault="003B03D9" w:rsidP="003B03D9">
      <w:pPr>
        <w:widowControl/>
        <w:pBdr>
          <w:top w:val="nil"/>
          <w:left w:val="nil"/>
          <w:bottom w:val="nil"/>
          <w:right w:val="nil"/>
          <w:between w:val="nil"/>
        </w:pBdr>
        <w:spacing w:line="276" w:lineRule="auto"/>
        <w:jc w:val="both"/>
        <w:rPr>
          <w:rFonts w:ascii="Bookman Old Style" w:eastAsia="Bookman Old Style" w:hAnsi="Bookman Old Style" w:cs="Bookman Old Style"/>
          <w:color w:val="000000"/>
          <w:sz w:val="24"/>
          <w:szCs w:val="24"/>
        </w:rPr>
      </w:pPr>
      <w:r w:rsidRPr="003757DA">
        <w:rPr>
          <w:rFonts w:ascii="Bookman Old Style" w:eastAsia="Bookman Old Style" w:hAnsi="Bookman Old Style" w:cs="Bookman Old Style"/>
          <w:color w:val="000000"/>
          <w:sz w:val="24"/>
          <w:szCs w:val="24"/>
        </w:rPr>
        <w:t>El artículo 286 de la Ley 5ta de 1992, modificado por el artículo 3 de la Ley 2003 de 2019 establece:</w:t>
      </w:r>
    </w:p>
    <w:p w:rsidR="003B03D9" w:rsidRDefault="003B03D9" w:rsidP="003B03D9">
      <w:pPr>
        <w:widowControl/>
        <w:pBdr>
          <w:top w:val="nil"/>
          <w:left w:val="nil"/>
          <w:bottom w:val="nil"/>
          <w:right w:val="nil"/>
          <w:between w:val="nil"/>
        </w:pBdr>
        <w:spacing w:line="276" w:lineRule="auto"/>
        <w:jc w:val="both"/>
        <w:rPr>
          <w:rFonts w:ascii="Bookman Old Style" w:eastAsia="Bookman Old Style" w:hAnsi="Bookman Old Style" w:cs="Bookman Old Style"/>
          <w:b/>
          <w:color w:val="000000"/>
          <w:sz w:val="24"/>
          <w:szCs w:val="24"/>
        </w:rPr>
      </w:pPr>
    </w:p>
    <w:p w:rsidR="003B03D9" w:rsidRPr="00AF2075" w:rsidRDefault="003B03D9" w:rsidP="00AF2075">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i/>
          <w:color w:val="000000"/>
          <w:sz w:val="24"/>
          <w:szCs w:val="24"/>
        </w:rPr>
      </w:pPr>
      <w:r w:rsidRPr="00AF2075">
        <w:rPr>
          <w:rFonts w:ascii="Bookman Old Style" w:eastAsia="Bookman Old Style" w:hAnsi="Bookman Old Style" w:cs="Bookman Old Style"/>
          <w:b/>
          <w:i/>
          <w:color w:val="000000"/>
          <w:sz w:val="24"/>
          <w:szCs w:val="24"/>
        </w:rPr>
        <w:lastRenderedPageBreak/>
        <w:t>Artículo </w:t>
      </w:r>
      <w:hyperlink r:id="rId16" w:anchor="286">
        <w:r w:rsidRPr="00AF2075">
          <w:rPr>
            <w:rFonts w:ascii="Bookman Old Style" w:eastAsia="Bookman Old Style" w:hAnsi="Bookman Old Style" w:cs="Bookman Old Style"/>
            <w:b/>
            <w:i/>
            <w:color w:val="000000"/>
            <w:sz w:val="24"/>
            <w:szCs w:val="24"/>
          </w:rPr>
          <w:t>286</w:t>
        </w:r>
      </w:hyperlink>
      <w:r w:rsidRPr="00AF2075">
        <w:rPr>
          <w:rFonts w:ascii="Bookman Old Style" w:eastAsia="Bookman Old Style" w:hAnsi="Bookman Old Style" w:cs="Bookman Old Style"/>
          <w:b/>
          <w:i/>
          <w:color w:val="000000"/>
          <w:sz w:val="24"/>
          <w:szCs w:val="24"/>
        </w:rPr>
        <w:t>. Régimen de conflicto de interés de los congresistas.</w:t>
      </w:r>
      <w:r w:rsidRPr="00AF2075">
        <w:rPr>
          <w:rFonts w:ascii="Bookman Old Style" w:eastAsia="Bookman Old Style" w:hAnsi="Bookman Old Style" w:cs="Bookman Old Style"/>
          <w:i/>
          <w:color w:val="000000"/>
          <w:sz w:val="24"/>
          <w:szCs w:val="24"/>
        </w:rPr>
        <w:t> Todos los congresistas deberán declarar los conflictos de intereses que pudieran surgir en ejercicio de sus funciones.</w:t>
      </w:r>
    </w:p>
    <w:p w:rsidR="003B03D9" w:rsidRPr="00AF2075" w:rsidRDefault="003B03D9" w:rsidP="00AF2075">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i/>
          <w:color w:val="000000"/>
          <w:sz w:val="24"/>
          <w:szCs w:val="24"/>
        </w:rPr>
      </w:pPr>
    </w:p>
    <w:p w:rsidR="003B03D9" w:rsidRPr="00AF2075" w:rsidRDefault="003B03D9" w:rsidP="00AF2075">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i/>
          <w:color w:val="000000"/>
          <w:sz w:val="24"/>
          <w:szCs w:val="24"/>
        </w:rPr>
      </w:pPr>
      <w:r w:rsidRPr="00AF2075">
        <w:rPr>
          <w:rFonts w:ascii="Bookman Old Style" w:eastAsia="Bookman Old Style" w:hAnsi="Bookman Old Style" w:cs="Bookman Old Style"/>
          <w:i/>
          <w:color w:val="000000"/>
          <w:sz w:val="24"/>
          <w:szCs w:val="24"/>
        </w:rPr>
        <w:t>Se entiende como conflicto de interés una situación donde la discusión o votación de un proyecto de ley o acto legislativo o artículo, pueda resultar en un beneficio particular, actual y directo a favor del congresista.</w:t>
      </w:r>
    </w:p>
    <w:p w:rsidR="003B03D9" w:rsidRPr="00AF2075" w:rsidRDefault="003B03D9" w:rsidP="00AF2075">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i/>
          <w:color w:val="000000"/>
          <w:sz w:val="24"/>
          <w:szCs w:val="24"/>
        </w:rPr>
      </w:pPr>
    </w:p>
    <w:p w:rsidR="003B03D9" w:rsidRPr="00AF2075" w:rsidRDefault="003B03D9" w:rsidP="00AF2075">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i/>
          <w:color w:val="000000"/>
          <w:sz w:val="24"/>
          <w:szCs w:val="24"/>
        </w:rPr>
      </w:pPr>
      <w:r w:rsidRPr="00AF2075">
        <w:rPr>
          <w:rFonts w:ascii="Bookman Old Style" w:eastAsia="Bookman Old Style" w:hAnsi="Bookman Old Style" w:cs="Bookman Old Style"/>
          <w:i/>
          <w:color w:val="000000"/>
          <w:sz w:val="24"/>
          <w:szCs w:val="24"/>
        </w:rPr>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rsidR="003B03D9" w:rsidRPr="00AF2075" w:rsidRDefault="003B03D9" w:rsidP="00AF2075">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i/>
          <w:color w:val="000000"/>
          <w:sz w:val="24"/>
          <w:szCs w:val="24"/>
        </w:rPr>
      </w:pPr>
    </w:p>
    <w:p w:rsidR="003B03D9" w:rsidRPr="00AF2075" w:rsidRDefault="003B03D9" w:rsidP="00AF2075">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i/>
          <w:color w:val="000000"/>
          <w:sz w:val="24"/>
          <w:szCs w:val="24"/>
        </w:rPr>
      </w:pPr>
      <w:r w:rsidRPr="00AF2075">
        <w:rPr>
          <w:rFonts w:ascii="Bookman Old Style" w:eastAsia="Bookman Old Style" w:hAnsi="Bookman Old Style" w:cs="Bookman Old Style"/>
          <w:i/>
          <w:color w:val="000000"/>
          <w:sz w:val="24"/>
          <w:szCs w:val="24"/>
        </w:rPr>
        <w:t>b) Beneficio actual: aquel que efectivamente se configura en las circunstancias presentes y existentes al momento en el que el congresista participa de la decisión.</w:t>
      </w:r>
    </w:p>
    <w:p w:rsidR="003B03D9" w:rsidRPr="00AF2075" w:rsidRDefault="003B03D9" w:rsidP="00AF2075">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i/>
          <w:color w:val="000000"/>
          <w:sz w:val="24"/>
          <w:szCs w:val="24"/>
        </w:rPr>
      </w:pPr>
    </w:p>
    <w:p w:rsidR="003B03D9" w:rsidRPr="00AF2075" w:rsidRDefault="003B03D9" w:rsidP="00AF2075">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i/>
          <w:color w:val="000000"/>
          <w:sz w:val="24"/>
          <w:szCs w:val="24"/>
        </w:rPr>
      </w:pPr>
      <w:r w:rsidRPr="00AF2075">
        <w:rPr>
          <w:rFonts w:ascii="Bookman Old Style" w:eastAsia="Bookman Old Style" w:hAnsi="Bookman Old Style" w:cs="Bookman Old Style"/>
          <w:i/>
          <w:color w:val="000000"/>
          <w:sz w:val="24"/>
          <w:szCs w:val="24"/>
        </w:rPr>
        <w:t>c) Beneficio directo: aquel que se produzca de forma específica respecto del congresista, de su cónyuge, compañero o compañera permanente, o parientes dentro del segundo grado de consanguinidad, segundo de afinidad o primero civil.</w:t>
      </w:r>
    </w:p>
    <w:p w:rsidR="003B03D9" w:rsidRPr="00AF2075" w:rsidRDefault="003B03D9" w:rsidP="00AF2075">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i/>
          <w:color w:val="000000"/>
          <w:sz w:val="24"/>
          <w:szCs w:val="24"/>
        </w:rPr>
      </w:pPr>
      <w:r w:rsidRPr="00AF2075">
        <w:rPr>
          <w:rFonts w:ascii="Bookman Old Style" w:eastAsia="Bookman Old Style" w:hAnsi="Bookman Old Style" w:cs="Bookman Old Style"/>
          <w:i/>
          <w:color w:val="000000"/>
          <w:sz w:val="24"/>
          <w:szCs w:val="24"/>
        </w:rPr>
        <w:t>Para todos los efectos se entiende que no hay conflicto de interés en las siguientes circunstancias:</w:t>
      </w:r>
    </w:p>
    <w:p w:rsidR="003B03D9" w:rsidRPr="00AF2075" w:rsidRDefault="003B03D9" w:rsidP="00AF2075">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i/>
          <w:color w:val="000000"/>
          <w:sz w:val="24"/>
          <w:szCs w:val="24"/>
        </w:rPr>
      </w:pPr>
    </w:p>
    <w:p w:rsidR="003B03D9" w:rsidRPr="00AF2075" w:rsidRDefault="003B03D9" w:rsidP="00AF2075">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i/>
          <w:color w:val="000000"/>
          <w:sz w:val="24"/>
          <w:szCs w:val="24"/>
        </w:rPr>
      </w:pPr>
      <w:r w:rsidRPr="00AF2075">
        <w:rPr>
          <w:rFonts w:ascii="Bookman Old Style" w:eastAsia="Bookman Old Style" w:hAnsi="Bookman Old Style" w:cs="Bookman Old Style"/>
          <w:i/>
          <w:color w:val="000000"/>
          <w:sz w:val="24"/>
          <w:szCs w:val="24"/>
        </w:rPr>
        <w:t>a) Cuando el congresista participe, discuta, vote un proyecto de ley o de acto legislativo que otorgue beneficios o cargos de carácter general, es decir cuando el interés del congresista coincide o se fusione con los intereses de los electores.</w:t>
      </w:r>
    </w:p>
    <w:p w:rsidR="003B03D9" w:rsidRPr="00AF2075" w:rsidRDefault="003B03D9" w:rsidP="00AF2075">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i/>
          <w:color w:val="000000"/>
          <w:sz w:val="24"/>
          <w:szCs w:val="24"/>
        </w:rPr>
      </w:pPr>
    </w:p>
    <w:p w:rsidR="003B03D9" w:rsidRPr="00AF2075" w:rsidRDefault="003B03D9" w:rsidP="00AF2075">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i/>
          <w:color w:val="000000"/>
          <w:sz w:val="24"/>
          <w:szCs w:val="24"/>
        </w:rPr>
      </w:pPr>
      <w:r w:rsidRPr="00AF2075">
        <w:rPr>
          <w:rFonts w:ascii="Bookman Old Style" w:eastAsia="Bookman Old Style" w:hAnsi="Bookman Old Style" w:cs="Bookman Old Style"/>
          <w:i/>
          <w:color w:val="000000"/>
          <w:sz w:val="24"/>
          <w:szCs w:val="24"/>
        </w:rPr>
        <w:t>b) Cuando el beneficio podría o no configurarse para el congresista en el futuro.</w:t>
      </w:r>
    </w:p>
    <w:p w:rsidR="003B03D9" w:rsidRPr="00AF2075" w:rsidRDefault="003B03D9" w:rsidP="00AF2075">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i/>
          <w:color w:val="000000"/>
          <w:sz w:val="24"/>
          <w:szCs w:val="24"/>
        </w:rPr>
      </w:pPr>
    </w:p>
    <w:p w:rsidR="003B03D9" w:rsidRPr="00AF2075" w:rsidRDefault="003B03D9" w:rsidP="00AF2075">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i/>
          <w:color w:val="000000"/>
          <w:sz w:val="24"/>
          <w:szCs w:val="24"/>
        </w:rPr>
      </w:pPr>
      <w:r w:rsidRPr="00AF2075">
        <w:rPr>
          <w:rFonts w:ascii="Bookman Old Style" w:eastAsia="Bookman Old Style" w:hAnsi="Bookman Old Style" w:cs="Bookman Old Style"/>
          <w:i/>
          <w:color w:val="000000"/>
          <w:sz w:val="24"/>
          <w:szCs w:val="24"/>
        </w:rPr>
        <w:t>c) Cuando el congresista participe, discuta o vote artículos de proyectos de ley o acto legislativo de carácter particular, que establezcan sanciones o disminuyan beneficios, en el cual, el congresista tiene un interés particular, actual y directo. El voto negativo no constituirá conflicto de interés cuando mantiene la normatividad vigente.</w:t>
      </w:r>
    </w:p>
    <w:p w:rsidR="003B03D9" w:rsidRPr="00AF2075" w:rsidRDefault="003B03D9" w:rsidP="00AF2075">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i/>
          <w:color w:val="000000"/>
          <w:sz w:val="24"/>
          <w:szCs w:val="24"/>
        </w:rPr>
      </w:pPr>
    </w:p>
    <w:p w:rsidR="003B03D9" w:rsidRPr="00AF2075" w:rsidRDefault="003B03D9" w:rsidP="00AF2075">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i/>
          <w:color w:val="000000"/>
          <w:sz w:val="24"/>
          <w:szCs w:val="24"/>
        </w:rPr>
      </w:pPr>
      <w:r w:rsidRPr="00AF2075">
        <w:rPr>
          <w:rFonts w:ascii="Bookman Old Style" w:eastAsia="Bookman Old Style" w:hAnsi="Bookman Old Style" w:cs="Bookman Old Style"/>
          <w:i/>
          <w:color w:val="000000"/>
          <w:sz w:val="24"/>
          <w:szCs w:val="24"/>
        </w:rPr>
        <w:t xml:space="preserve">d) Cuando el congresista participe, discuta o vote artículos de proyectos de ley o acto legislativo de carácter particular, que regula un sector económico en el </w:t>
      </w:r>
      <w:r w:rsidRPr="00AF2075">
        <w:rPr>
          <w:rFonts w:ascii="Bookman Old Style" w:eastAsia="Bookman Old Style" w:hAnsi="Bookman Old Style" w:cs="Bookman Old Style"/>
          <w:i/>
          <w:color w:val="000000"/>
          <w:sz w:val="24"/>
          <w:szCs w:val="24"/>
        </w:rPr>
        <w:lastRenderedPageBreak/>
        <w:t>cual el congresista tiene un interés particular, actual y directo, siempre y cuando no genere beneficio particular, directo y actual.</w:t>
      </w:r>
    </w:p>
    <w:p w:rsidR="003B03D9" w:rsidRPr="00AF2075" w:rsidRDefault="003B03D9" w:rsidP="00AF2075">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i/>
          <w:color w:val="000000"/>
          <w:sz w:val="24"/>
          <w:szCs w:val="24"/>
        </w:rPr>
      </w:pPr>
    </w:p>
    <w:p w:rsidR="003B03D9" w:rsidRPr="00AF2075" w:rsidRDefault="003B03D9" w:rsidP="00AF2075">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i/>
          <w:color w:val="000000"/>
          <w:sz w:val="24"/>
          <w:szCs w:val="24"/>
        </w:rPr>
      </w:pPr>
      <w:r w:rsidRPr="00AF2075">
        <w:rPr>
          <w:rFonts w:ascii="Bookman Old Style" w:eastAsia="Bookman Old Style" w:hAnsi="Bookman Old Style" w:cs="Bookman Old Style"/>
          <w:i/>
          <w:color w:val="000000"/>
          <w:sz w:val="24"/>
          <w:szCs w:val="24"/>
        </w:rPr>
        <w:t>e) &lt;Literal INEXEQUIBLE&gt;</w:t>
      </w:r>
    </w:p>
    <w:p w:rsidR="003B03D9" w:rsidRPr="00AF2075" w:rsidRDefault="003B03D9" w:rsidP="00AF2075">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i/>
          <w:color w:val="000000"/>
          <w:sz w:val="24"/>
          <w:szCs w:val="24"/>
        </w:rPr>
      </w:pPr>
    </w:p>
    <w:p w:rsidR="003B03D9" w:rsidRPr="00AF2075" w:rsidRDefault="003B03D9" w:rsidP="00AF2075">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i/>
          <w:color w:val="000000"/>
          <w:sz w:val="24"/>
          <w:szCs w:val="24"/>
        </w:rPr>
      </w:pPr>
      <w:r w:rsidRPr="00AF2075">
        <w:rPr>
          <w:rFonts w:ascii="Bookman Old Style" w:eastAsia="Bookman Old Style" w:hAnsi="Bookman Old Style" w:cs="Bookman Old Style"/>
          <w:i/>
          <w:color w:val="000000"/>
          <w:sz w:val="24"/>
          <w:szCs w:val="24"/>
        </w:rPr>
        <w:t>f) Cuando el congresista participa en la elección de otros servidores públicos mediante el voto secreto. Se exceptúan los casos en que se presenten inhabilidades referidas al parentesco con los candidatos.</w:t>
      </w:r>
    </w:p>
    <w:p w:rsidR="003B03D9" w:rsidRPr="00AF2075" w:rsidRDefault="003B03D9" w:rsidP="00AF2075">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b/>
          <w:i/>
          <w:color w:val="000000"/>
          <w:sz w:val="24"/>
          <w:szCs w:val="24"/>
        </w:rPr>
      </w:pPr>
    </w:p>
    <w:p w:rsidR="003B03D9" w:rsidRPr="00AF2075" w:rsidRDefault="003B03D9" w:rsidP="00AF2075">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i/>
          <w:color w:val="000000"/>
          <w:sz w:val="24"/>
          <w:szCs w:val="24"/>
        </w:rPr>
      </w:pPr>
      <w:r w:rsidRPr="00AF2075">
        <w:rPr>
          <w:rFonts w:ascii="Bookman Old Style" w:eastAsia="Bookman Old Style" w:hAnsi="Bookman Old Style" w:cs="Bookman Old Style"/>
          <w:b/>
          <w:i/>
          <w:color w:val="000000"/>
          <w:sz w:val="24"/>
          <w:szCs w:val="24"/>
        </w:rPr>
        <w:t>PARÁGRAFO 1o.</w:t>
      </w:r>
      <w:r w:rsidRPr="00AF2075">
        <w:rPr>
          <w:rFonts w:ascii="Bookman Old Style" w:eastAsia="Bookman Old Style" w:hAnsi="Bookman Old Style" w:cs="Bookman Old Style"/>
          <w:i/>
          <w:color w:val="000000"/>
          <w:sz w:val="24"/>
          <w:szCs w:val="24"/>
        </w:rPr>
        <w:t> Entiéndase por conflicto de interés moral aquel que presentan los congresistas cuando por razones de conciencia se quieran apartar de la discusión y votación del proyecto.</w:t>
      </w:r>
    </w:p>
    <w:p w:rsidR="003B03D9" w:rsidRPr="00AF2075" w:rsidRDefault="003B03D9" w:rsidP="00AF2075">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b/>
          <w:i/>
          <w:color w:val="000000"/>
          <w:sz w:val="24"/>
          <w:szCs w:val="24"/>
        </w:rPr>
      </w:pPr>
    </w:p>
    <w:p w:rsidR="003B03D9" w:rsidRPr="00AF2075" w:rsidRDefault="003B03D9" w:rsidP="00AF2075">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i/>
          <w:color w:val="000000"/>
          <w:sz w:val="24"/>
          <w:szCs w:val="24"/>
        </w:rPr>
      </w:pPr>
      <w:r w:rsidRPr="00AF2075">
        <w:rPr>
          <w:rFonts w:ascii="Bookman Old Style" w:eastAsia="Bookman Old Style" w:hAnsi="Bookman Old Style" w:cs="Bookman Old Style"/>
          <w:b/>
          <w:i/>
          <w:color w:val="000000"/>
          <w:sz w:val="24"/>
          <w:szCs w:val="24"/>
        </w:rPr>
        <w:t>PARÁGRAFO 2o.</w:t>
      </w:r>
      <w:r w:rsidRPr="00AF2075">
        <w:rPr>
          <w:rFonts w:ascii="Bookman Old Style" w:eastAsia="Bookman Old Style" w:hAnsi="Bookman Old Style" w:cs="Bookman Old Style"/>
          <w:i/>
          <w:color w:val="000000"/>
          <w:sz w:val="24"/>
          <w:szCs w:val="24"/>
        </w:rPr>
        <w:t> Cuando se trate de funciones judiciales, disciplinarias o fiscales de los congresistas, sobre conflicto de interés se aplicará la norma especial que rige ese tipo de investigación.</w:t>
      </w:r>
    </w:p>
    <w:p w:rsidR="003B03D9" w:rsidRPr="00AF2075" w:rsidRDefault="003B03D9" w:rsidP="00AF2075">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b/>
          <w:i/>
          <w:color w:val="000000"/>
          <w:sz w:val="24"/>
          <w:szCs w:val="24"/>
        </w:rPr>
      </w:pPr>
    </w:p>
    <w:p w:rsidR="003B03D9" w:rsidRPr="00AF2075" w:rsidRDefault="003B03D9" w:rsidP="00AF2075">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i/>
          <w:color w:val="000000"/>
          <w:sz w:val="24"/>
          <w:szCs w:val="24"/>
        </w:rPr>
      </w:pPr>
      <w:r w:rsidRPr="00AF2075">
        <w:rPr>
          <w:rFonts w:ascii="Bookman Old Style" w:eastAsia="Bookman Old Style" w:hAnsi="Bookman Old Style" w:cs="Bookman Old Style"/>
          <w:b/>
          <w:i/>
          <w:color w:val="000000"/>
          <w:sz w:val="24"/>
          <w:szCs w:val="24"/>
        </w:rPr>
        <w:t>PARÁGRAFO 3o.</w:t>
      </w:r>
      <w:r w:rsidRPr="00AF2075">
        <w:rPr>
          <w:rFonts w:ascii="Bookman Old Style" w:eastAsia="Bookman Old Style" w:hAnsi="Bookman Old Style" w:cs="Bookman Old Style"/>
          <w:i/>
          <w:color w:val="000000"/>
          <w:sz w:val="24"/>
          <w:szCs w:val="24"/>
        </w:rPr>
        <w:t> Igualmente se aplicará el régimen de conflicto de intereses para todos y cada uno de los actores que presenten, discutan o participen de cualquier iniciativa legislativa, conforme al artículo </w:t>
      </w:r>
      <w:hyperlink r:id="rId17" w:anchor="140">
        <w:r w:rsidRPr="00AF2075">
          <w:rPr>
            <w:rFonts w:ascii="Bookman Old Style" w:eastAsia="Bookman Old Style" w:hAnsi="Bookman Old Style" w:cs="Bookman Old Style"/>
            <w:i/>
            <w:color w:val="000000"/>
            <w:sz w:val="24"/>
            <w:szCs w:val="24"/>
          </w:rPr>
          <w:t>140</w:t>
        </w:r>
      </w:hyperlink>
      <w:r w:rsidRPr="00AF2075">
        <w:rPr>
          <w:rFonts w:ascii="Bookman Old Style" w:eastAsia="Bookman Old Style" w:hAnsi="Bookman Old Style" w:cs="Bookman Old Style"/>
          <w:i/>
          <w:color w:val="000000"/>
          <w:sz w:val="24"/>
          <w:szCs w:val="24"/>
        </w:rPr>
        <w:t> de la Ley 5 de 1992.</w:t>
      </w:r>
    </w:p>
    <w:p w:rsidR="003B03D9" w:rsidRDefault="003B03D9" w:rsidP="003B03D9">
      <w:pPr>
        <w:widowControl/>
        <w:pBdr>
          <w:top w:val="nil"/>
          <w:left w:val="nil"/>
          <w:bottom w:val="nil"/>
          <w:right w:val="nil"/>
          <w:between w:val="nil"/>
        </w:pBdr>
        <w:spacing w:line="276" w:lineRule="auto"/>
        <w:jc w:val="both"/>
        <w:rPr>
          <w:rFonts w:ascii="Bookman Old Style" w:eastAsia="Bookman Old Style" w:hAnsi="Bookman Old Style" w:cs="Bookman Old Style"/>
          <w:color w:val="000000"/>
          <w:sz w:val="24"/>
          <w:szCs w:val="24"/>
        </w:rPr>
      </w:pPr>
    </w:p>
    <w:p w:rsidR="003B03D9" w:rsidRPr="003757DA" w:rsidRDefault="003B03D9" w:rsidP="003B03D9">
      <w:pPr>
        <w:tabs>
          <w:tab w:val="left" w:pos="567"/>
        </w:tabs>
        <w:jc w:val="center"/>
        <w:rPr>
          <w:rFonts w:ascii="Bookman Old Style" w:eastAsia="Bookman Old Style" w:hAnsi="Bookman Old Style" w:cs="Bookman Old Style"/>
          <w:b/>
          <w:color w:val="000000"/>
          <w:sz w:val="24"/>
          <w:szCs w:val="24"/>
          <w:highlight w:val="white"/>
        </w:rPr>
      </w:pPr>
      <w:r w:rsidRPr="003757DA">
        <w:rPr>
          <w:rFonts w:ascii="Bookman Old Style" w:eastAsia="Bookman Old Style" w:hAnsi="Bookman Old Style" w:cs="Bookman Old Style"/>
          <w:b/>
          <w:color w:val="000000"/>
          <w:sz w:val="24"/>
          <w:szCs w:val="24"/>
          <w:highlight w:val="white"/>
        </w:rPr>
        <w:t>PROPOSICIÓN</w:t>
      </w:r>
    </w:p>
    <w:p w:rsidR="003B03D9" w:rsidRPr="003757DA" w:rsidRDefault="003B03D9" w:rsidP="003B03D9">
      <w:pPr>
        <w:pBdr>
          <w:top w:val="nil"/>
          <w:left w:val="nil"/>
          <w:bottom w:val="nil"/>
          <w:right w:val="nil"/>
          <w:between w:val="nil"/>
        </w:pBdr>
        <w:tabs>
          <w:tab w:val="left" w:pos="567"/>
        </w:tabs>
        <w:ind w:left="813" w:hanging="355"/>
        <w:jc w:val="center"/>
        <w:rPr>
          <w:rFonts w:ascii="Bookman Old Style" w:eastAsia="Bookman Old Style" w:hAnsi="Bookman Old Style" w:cs="Bookman Old Style"/>
          <w:b/>
          <w:color w:val="000000"/>
          <w:sz w:val="24"/>
          <w:szCs w:val="24"/>
          <w:highlight w:val="white"/>
        </w:rPr>
      </w:pPr>
    </w:p>
    <w:p w:rsidR="003B03D9" w:rsidRPr="005C2BCC" w:rsidRDefault="003B03D9" w:rsidP="003B03D9">
      <w:pPr>
        <w:widowControl/>
        <w:pBdr>
          <w:top w:val="nil"/>
          <w:left w:val="nil"/>
          <w:bottom w:val="nil"/>
          <w:right w:val="nil"/>
          <w:between w:val="nil"/>
        </w:pBdr>
        <w:tabs>
          <w:tab w:val="left" w:pos="567"/>
        </w:tabs>
        <w:jc w:val="both"/>
        <w:rPr>
          <w:rFonts w:ascii="Bookman Old Style" w:eastAsia="Bookman Old Style" w:hAnsi="Bookman Old Style" w:cs="Bookman Old Style"/>
          <w:i/>
          <w:color w:val="000000"/>
          <w:sz w:val="24"/>
          <w:szCs w:val="24"/>
        </w:rPr>
      </w:pPr>
      <w:r w:rsidRPr="003757DA">
        <w:rPr>
          <w:rFonts w:ascii="Bookman Old Style" w:eastAsia="Bookman Old Style" w:hAnsi="Bookman Old Style" w:cs="Bookman Old Style"/>
          <w:color w:val="000000"/>
          <w:sz w:val="24"/>
          <w:szCs w:val="24"/>
        </w:rPr>
        <w:t>Con fundamento en las anterio</w:t>
      </w:r>
      <w:r>
        <w:rPr>
          <w:rFonts w:ascii="Bookman Old Style" w:eastAsia="Bookman Old Style" w:hAnsi="Bookman Old Style" w:cs="Bookman Old Style"/>
          <w:color w:val="000000"/>
          <w:sz w:val="24"/>
          <w:szCs w:val="24"/>
        </w:rPr>
        <w:t>res consideraciones, presento ponencia positiva y se propone</w:t>
      </w:r>
      <w:r w:rsidRPr="003757DA">
        <w:rPr>
          <w:rFonts w:ascii="Bookman Old Style" w:eastAsia="Bookman Old Style" w:hAnsi="Bookman Old Style" w:cs="Bookman Old Style"/>
          <w:color w:val="000000"/>
          <w:sz w:val="24"/>
          <w:szCs w:val="24"/>
        </w:rPr>
        <w:t xml:space="preserve"> a la </w:t>
      </w:r>
      <w:r>
        <w:rPr>
          <w:rFonts w:ascii="Bookman Old Style" w:eastAsia="Bookman Old Style" w:hAnsi="Bookman Old Style" w:cs="Bookman Old Style"/>
          <w:color w:val="000000"/>
          <w:sz w:val="24"/>
          <w:szCs w:val="24"/>
        </w:rPr>
        <w:t xml:space="preserve">Comisión Primera de la Cámara </w:t>
      </w:r>
      <w:r w:rsidRPr="003757DA">
        <w:rPr>
          <w:rFonts w:ascii="Bookman Old Style" w:eastAsia="Bookman Old Style" w:hAnsi="Bookman Old Style" w:cs="Bookman Old Style"/>
          <w:color w:val="000000"/>
          <w:sz w:val="24"/>
          <w:szCs w:val="24"/>
        </w:rPr>
        <w:t xml:space="preserve">de Representantes, dar primer debate al Proyecto de Ley No. </w:t>
      </w:r>
      <w:r w:rsidR="006A571E">
        <w:rPr>
          <w:rFonts w:ascii="Bookman Old Style" w:eastAsia="Bookman Old Style" w:hAnsi="Bookman Old Style" w:cs="Bookman Old Style"/>
          <w:color w:val="000000"/>
          <w:sz w:val="24"/>
          <w:szCs w:val="24"/>
        </w:rPr>
        <w:t>182 de 2023</w:t>
      </w:r>
      <w:r w:rsidR="006A571E" w:rsidRPr="003757DA">
        <w:rPr>
          <w:rFonts w:ascii="Bookman Old Style" w:eastAsia="Bookman Old Style" w:hAnsi="Bookman Old Style" w:cs="Bookman Old Style"/>
          <w:color w:val="000000"/>
          <w:sz w:val="24"/>
          <w:szCs w:val="24"/>
        </w:rPr>
        <w:t xml:space="preserve"> Cámara </w:t>
      </w:r>
      <w:r w:rsidR="006A571E" w:rsidRPr="006A571E">
        <w:rPr>
          <w:rFonts w:ascii="Bookman Old Style" w:eastAsia="Bookman Old Style" w:hAnsi="Bookman Old Style" w:cs="Bookman Old Style"/>
          <w:i/>
          <w:color w:val="000000"/>
          <w:sz w:val="24"/>
          <w:szCs w:val="24"/>
        </w:rPr>
        <w:t>“Por medio de la cual se modifica la edad del consentimiento sexual para menores de edad, se protege la libertad sexual de niños, niñas y adolescentes en Colombia y se dictan otras disposiciones”</w:t>
      </w:r>
      <w:r>
        <w:rPr>
          <w:rFonts w:ascii="Bookman Old Style" w:eastAsia="Bookman Old Style" w:hAnsi="Bookman Old Style" w:cs="Bookman Old Style"/>
          <w:i/>
          <w:color w:val="000000"/>
          <w:sz w:val="24"/>
          <w:szCs w:val="24"/>
        </w:rPr>
        <w:t>,</w:t>
      </w:r>
      <w:r>
        <w:rPr>
          <w:rFonts w:ascii="Bookman Old Style" w:eastAsia="Bookman Old Style" w:hAnsi="Bookman Old Style" w:cs="Bookman Old Style"/>
          <w:color w:val="000000"/>
          <w:sz w:val="24"/>
          <w:szCs w:val="24"/>
        </w:rPr>
        <w:t xml:space="preserve"> conforme a</w:t>
      </w:r>
      <w:r w:rsidR="006A571E">
        <w:rPr>
          <w:rFonts w:ascii="Bookman Old Style" w:eastAsia="Bookman Old Style" w:hAnsi="Bookman Old Style" w:cs="Bookman Old Style"/>
          <w:color w:val="000000"/>
          <w:sz w:val="24"/>
          <w:szCs w:val="24"/>
        </w:rPr>
        <w:t>l</w:t>
      </w:r>
      <w:r>
        <w:rPr>
          <w:rFonts w:ascii="Bookman Old Style" w:eastAsia="Bookman Old Style" w:hAnsi="Bookman Old Style" w:cs="Bookman Old Style"/>
          <w:color w:val="000000"/>
          <w:sz w:val="24"/>
          <w:szCs w:val="24"/>
        </w:rPr>
        <w:t xml:space="preserve"> texto propuesto</w:t>
      </w:r>
      <w:r w:rsidR="006A571E">
        <w:rPr>
          <w:rFonts w:ascii="Bookman Old Style" w:eastAsia="Bookman Old Style" w:hAnsi="Bookman Old Style" w:cs="Bookman Old Style"/>
          <w:color w:val="000000"/>
          <w:sz w:val="24"/>
          <w:szCs w:val="24"/>
        </w:rPr>
        <w:t xml:space="preserve"> con sus modificaciones</w:t>
      </w:r>
      <w:r>
        <w:rPr>
          <w:rFonts w:ascii="Bookman Old Style" w:eastAsia="Bookman Old Style" w:hAnsi="Bookman Old Style" w:cs="Bookman Old Style"/>
          <w:color w:val="000000"/>
          <w:sz w:val="24"/>
          <w:szCs w:val="24"/>
        </w:rPr>
        <w:t>.</w:t>
      </w:r>
    </w:p>
    <w:p w:rsidR="003B03D9" w:rsidRPr="003757DA" w:rsidRDefault="003B03D9" w:rsidP="003B03D9">
      <w:pPr>
        <w:widowControl/>
        <w:pBdr>
          <w:top w:val="nil"/>
          <w:left w:val="nil"/>
          <w:bottom w:val="nil"/>
          <w:right w:val="nil"/>
          <w:between w:val="nil"/>
        </w:pBdr>
        <w:tabs>
          <w:tab w:val="left" w:pos="567"/>
        </w:tabs>
        <w:jc w:val="both"/>
        <w:rPr>
          <w:rFonts w:ascii="Bookman Old Style" w:eastAsia="Bookman Old Style" w:hAnsi="Bookman Old Style" w:cs="Bookman Old Style"/>
          <w:color w:val="000000"/>
          <w:sz w:val="24"/>
          <w:szCs w:val="24"/>
        </w:rPr>
      </w:pPr>
    </w:p>
    <w:p w:rsidR="003B03D9" w:rsidRPr="003757DA" w:rsidRDefault="003B03D9" w:rsidP="003B03D9">
      <w:pPr>
        <w:widowControl/>
        <w:pBdr>
          <w:top w:val="nil"/>
          <w:left w:val="nil"/>
          <w:bottom w:val="nil"/>
          <w:right w:val="nil"/>
          <w:between w:val="nil"/>
        </w:pBdr>
        <w:jc w:val="both"/>
        <w:rPr>
          <w:rFonts w:ascii="Bookman Old Style" w:eastAsia="Bookman Old Style" w:hAnsi="Bookman Old Style" w:cs="Bookman Old Style"/>
          <w:color w:val="000000"/>
          <w:sz w:val="24"/>
          <w:szCs w:val="24"/>
        </w:rPr>
      </w:pPr>
      <w:r w:rsidRPr="003757DA">
        <w:rPr>
          <w:rFonts w:ascii="Bookman Old Style" w:eastAsia="Bookman Old Style" w:hAnsi="Bookman Old Style" w:cs="Bookman Old Style"/>
          <w:color w:val="000000"/>
          <w:sz w:val="24"/>
          <w:szCs w:val="24"/>
        </w:rPr>
        <w:t>De los Honorables Representantes,</w:t>
      </w:r>
    </w:p>
    <w:p w:rsidR="003B03D9" w:rsidRPr="003757DA" w:rsidRDefault="003B03D9" w:rsidP="003B03D9">
      <w:pPr>
        <w:widowControl/>
        <w:pBdr>
          <w:top w:val="nil"/>
          <w:left w:val="nil"/>
          <w:bottom w:val="nil"/>
          <w:right w:val="nil"/>
          <w:between w:val="nil"/>
        </w:pBdr>
        <w:jc w:val="both"/>
        <w:rPr>
          <w:rFonts w:ascii="Bookman Old Style" w:eastAsia="Bookman Old Style" w:hAnsi="Bookman Old Style" w:cs="Bookman Old Style"/>
          <w:color w:val="000000"/>
          <w:sz w:val="24"/>
          <w:szCs w:val="24"/>
        </w:rPr>
      </w:pPr>
    </w:p>
    <w:p w:rsidR="003B03D9" w:rsidRPr="003757DA" w:rsidRDefault="003B03D9" w:rsidP="003B03D9">
      <w:pPr>
        <w:widowControl/>
        <w:pBdr>
          <w:top w:val="nil"/>
          <w:left w:val="nil"/>
          <w:bottom w:val="nil"/>
          <w:right w:val="nil"/>
          <w:between w:val="nil"/>
        </w:pBdr>
        <w:jc w:val="both"/>
        <w:rPr>
          <w:rFonts w:ascii="Bookman Old Style" w:eastAsia="Bookman Old Style" w:hAnsi="Bookman Old Style" w:cs="Bookman Old Style"/>
          <w:color w:val="000000"/>
          <w:sz w:val="24"/>
          <w:szCs w:val="24"/>
        </w:rPr>
      </w:pPr>
    </w:p>
    <w:p w:rsidR="003B03D9" w:rsidRDefault="003B03D9" w:rsidP="003B03D9">
      <w:pPr>
        <w:widowControl/>
        <w:pBdr>
          <w:top w:val="nil"/>
          <w:left w:val="nil"/>
          <w:bottom w:val="nil"/>
          <w:right w:val="nil"/>
          <w:between w:val="nil"/>
        </w:pBdr>
        <w:jc w:val="both"/>
        <w:rPr>
          <w:rFonts w:ascii="Bookman Old Style" w:eastAsia="Bookman Old Style" w:hAnsi="Bookman Old Style" w:cs="Bookman Old Style"/>
          <w:color w:val="000000"/>
          <w:sz w:val="24"/>
          <w:szCs w:val="24"/>
        </w:rPr>
      </w:pPr>
    </w:p>
    <w:p w:rsidR="003B03D9" w:rsidRPr="003757DA" w:rsidRDefault="003B03D9" w:rsidP="003B03D9">
      <w:pPr>
        <w:widowControl/>
        <w:pBdr>
          <w:top w:val="nil"/>
          <w:left w:val="nil"/>
          <w:bottom w:val="nil"/>
          <w:right w:val="nil"/>
          <w:between w:val="nil"/>
        </w:pBdr>
        <w:jc w:val="both"/>
        <w:rPr>
          <w:rFonts w:ascii="Bookman Old Style" w:eastAsia="Bookman Old Style" w:hAnsi="Bookman Old Style" w:cs="Bookman Old Style"/>
          <w:color w:val="000000"/>
          <w:sz w:val="24"/>
          <w:szCs w:val="24"/>
        </w:rPr>
      </w:pPr>
    </w:p>
    <w:p w:rsidR="003B03D9" w:rsidRPr="003757DA" w:rsidRDefault="003B03D9" w:rsidP="003B03D9">
      <w:pPr>
        <w:widowControl/>
        <w:pBdr>
          <w:top w:val="nil"/>
          <w:left w:val="nil"/>
          <w:bottom w:val="nil"/>
          <w:right w:val="nil"/>
          <w:between w:val="nil"/>
        </w:pBdr>
        <w:jc w:val="both"/>
        <w:rPr>
          <w:rFonts w:ascii="Bookman Old Style" w:eastAsia="Bookman Old Style" w:hAnsi="Bookman Old Style" w:cs="Bookman Old Style"/>
          <w:b/>
          <w:color w:val="000000"/>
          <w:sz w:val="24"/>
          <w:szCs w:val="24"/>
        </w:rPr>
      </w:pPr>
      <w:r w:rsidRPr="003757DA">
        <w:rPr>
          <w:rFonts w:ascii="Bookman Old Style" w:eastAsia="Bookman Old Style" w:hAnsi="Bookman Old Style" w:cs="Bookman Old Style"/>
          <w:b/>
          <w:color w:val="000000"/>
          <w:sz w:val="24"/>
          <w:szCs w:val="24"/>
        </w:rPr>
        <w:t>KARYME A. COTES MARTÍNEZ</w:t>
      </w:r>
      <w:r w:rsidRPr="003757DA">
        <w:rPr>
          <w:rFonts w:ascii="Bookman Old Style" w:eastAsia="Bookman Old Style" w:hAnsi="Bookman Old Style" w:cs="Bookman Old Style"/>
          <w:b/>
          <w:color w:val="000000"/>
          <w:sz w:val="24"/>
          <w:szCs w:val="24"/>
        </w:rPr>
        <w:tab/>
      </w:r>
      <w:r w:rsidRPr="003757DA">
        <w:rPr>
          <w:rFonts w:ascii="Bookman Old Style" w:eastAsia="Bookman Old Style" w:hAnsi="Bookman Old Style" w:cs="Bookman Old Style"/>
          <w:b/>
          <w:color w:val="000000"/>
          <w:sz w:val="24"/>
          <w:szCs w:val="24"/>
        </w:rPr>
        <w:tab/>
      </w:r>
      <w:r w:rsidRPr="003757DA">
        <w:rPr>
          <w:rFonts w:ascii="Bookman Old Style" w:eastAsia="Bookman Old Style" w:hAnsi="Bookman Old Style" w:cs="Bookman Old Style"/>
          <w:b/>
          <w:color w:val="000000"/>
          <w:sz w:val="24"/>
          <w:szCs w:val="24"/>
        </w:rPr>
        <w:tab/>
      </w:r>
    </w:p>
    <w:p w:rsidR="003B03D9" w:rsidRPr="003757DA" w:rsidRDefault="003B03D9" w:rsidP="003B03D9">
      <w:pPr>
        <w:widowControl/>
        <w:pBdr>
          <w:top w:val="nil"/>
          <w:left w:val="nil"/>
          <w:bottom w:val="nil"/>
          <w:right w:val="nil"/>
          <w:between w:val="nil"/>
        </w:pBdr>
        <w:jc w:val="both"/>
        <w:rPr>
          <w:rFonts w:ascii="Bookman Old Style" w:eastAsia="Bookman Old Style" w:hAnsi="Bookman Old Style" w:cs="Bookman Old Style"/>
          <w:color w:val="000000"/>
          <w:sz w:val="24"/>
          <w:szCs w:val="24"/>
        </w:rPr>
      </w:pPr>
      <w:r w:rsidRPr="003757DA">
        <w:rPr>
          <w:rFonts w:ascii="Bookman Old Style" w:eastAsia="Bookman Old Style" w:hAnsi="Bookman Old Style" w:cs="Bookman Old Style"/>
          <w:color w:val="000000"/>
          <w:sz w:val="24"/>
          <w:szCs w:val="24"/>
        </w:rPr>
        <w:t>Representante a la Cámara</w:t>
      </w:r>
      <w:r w:rsidRPr="003757DA">
        <w:rPr>
          <w:rFonts w:ascii="Bookman Old Style" w:eastAsia="Bookman Old Style" w:hAnsi="Bookman Old Style" w:cs="Bookman Old Style"/>
          <w:color w:val="000000"/>
          <w:sz w:val="24"/>
          <w:szCs w:val="24"/>
        </w:rPr>
        <w:tab/>
      </w:r>
      <w:r w:rsidRPr="003757DA">
        <w:rPr>
          <w:rFonts w:ascii="Bookman Old Style" w:eastAsia="Bookman Old Style" w:hAnsi="Bookman Old Style" w:cs="Bookman Old Style"/>
          <w:color w:val="000000"/>
          <w:sz w:val="24"/>
          <w:szCs w:val="24"/>
        </w:rPr>
        <w:tab/>
      </w:r>
      <w:r w:rsidRPr="003757DA">
        <w:rPr>
          <w:rFonts w:ascii="Bookman Old Style" w:eastAsia="Bookman Old Style" w:hAnsi="Bookman Old Style" w:cs="Bookman Old Style"/>
          <w:color w:val="000000"/>
          <w:sz w:val="24"/>
          <w:szCs w:val="24"/>
        </w:rPr>
        <w:tab/>
      </w:r>
      <w:r w:rsidRPr="003757DA">
        <w:rPr>
          <w:rFonts w:ascii="Bookman Old Style" w:eastAsia="Bookman Old Style" w:hAnsi="Bookman Old Style" w:cs="Bookman Old Style"/>
          <w:color w:val="000000"/>
          <w:sz w:val="24"/>
          <w:szCs w:val="24"/>
        </w:rPr>
        <w:tab/>
      </w:r>
    </w:p>
    <w:p w:rsidR="003B03D9" w:rsidRDefault="003B03D9" w:rsidP="003B03D9">
      <w:pPr>
        <w:widowControl/>
        <w:pBdr>
          <w:top w:val="nil"/>
          <w:left w:val="nil"/>
          <w:bottom w:val="nil"/>
          <w:right w:val="nil"/>
          <w:between w:val="nil"/>
        </w:pBdr>
        <w:jc w:val="both"/>
        <w:rPr>
          <w:rFonts w:ascii="Bookman Old Style" w:eastAsia="Bookman Old Style" w:hAnsi="Bookman Old Style" w:cs="Bookman Old Style"/>
          <w:b/>
          <w:color w:val="000000"/>
          <w:sz w:val="24"/>
          <w:szCs w:val="24"/>
        </w:rPr>
      </w:pPr>
      <w:r w:rsidRPr="003757DA">
        <w:rPr>
          <w:rFonts w:ascii="Bookman Old Style" w:eastAsia="Bookman Old Style" w:hAnsi="Bookman Old Style" w:cs="Bookman Old Style"/>
          <w:color w:val="000000"/>
          <w:sz w:val="24"/>
          <w:szCs w:val="24"/>
        </w:rPr>
        <w:t>Ponente</w:t>
      </w:r>
      <w:r w:rsidRPr="003757DA">
        <w:rPr>
          <w:rFonts w:ascii="Bookman Old Style" w:eastAsia="Bookman Old Style" w:hAnsi="Bookman Old Style" w:cs="Bookman Old Style"/>
          <w:color w:val="000000"/>
          <w:sz w:val="24"/>
          <w:szCs w:val="24"/>
        </w:rPr>
        <w:tab/>
      </w:r>
    </w:p>
    <w:p w:rsidR="003B03D9" w:rsidRDefault="003B03D9" w:rsidP="003B03D9">
      <w:pPr>
        <w:jc w:val="center"/>
        <w:rPr>
          <w:rFonts w:ascii="Bookman Old Style" w:eastAsia="Bookman Old Style" w:hAnsi="Bookman Old Style" w:cs="Bookman Old Style"/>
          <w:b/>
          <w:color w:val="000000"/>
          <w:sz w:val="24"/>
          <w:szCs w:val="24"/>
        </w:rPr>
      </w:pPr>
    </w:p>
    <w:p w:rsidR="003B03D9" w:rsidRDefault="003B03D9" w:rsidP="003B03D9">
      <w:pPr>
        <w:jc w:val="center"/>
        <w:rPr>
          <w:rFonts w:ascii="Bookman Old Style" w:eastAsia="Bookman Old Style" w:hAnsi="Bookman Old Style" w:cs="Bookman Old Style"/>
          <w:b/>
          <w:color w:val="000000"/>
          <w:sz w:val="24"/>
          <w:szCs w:val="24"/>
        </w:rPr>
      </w:pPr>
    </w:p>
    <w:p w:rsidR="003B03D9" w:rsidRDefault="003B03D9" w:rsidP="003B03D9">
      <w:pPr>
        <w:jc w:val="center"/>
        <w:rPr>
          <w:rFonts w:ascii="Bookman Old Style" w:eastAsia="Bookman Old Style" w:hAnsi="Bookman Old Style" w:cs="Bookman Old Style"/>
          <w:b/>
          <w:color w:val="000000"/>
          <w:sz w:val="24"/>
          <w:szCs w:val="24"/>
        </w:rPr>
      </w:pPr>
    </w:p>
    <w:p w:rsidR="003B03D9" w:rsidRPr="003757DA" w:rsidRDefault="003B03D9" w:rsidP="003B03D9">
      <w:pPr>
        <w:jc w:val="center"/>
        <w:rPr>
          <w:rFonts w:ascii="Bookman Old Style" w:eastAsia="Bookman Old Style" w:hAnsi="Bookman Old Style" w:cs="Bookman Old Style"/>
          <w:b/>
          <w:color w:val="000000"/>
          <w:sz w:val="24"/>
          <w:szCs w:val="24"/>
        </w:rPr>
      </w:pPr>
      <w:r w:rsidRPr="003757DA">
        <w:rPr>
          <w:rFonts w:ascii="Bookman Old Style" w:eastAsia="Bookman Old Style" w:hAnsi="Bookman Old Style" w:cs="Bookman Old Style"/>
          <w:b/>
          <w:color w:val="000000"/>
          <w:sz w:val="24"/>
          <w:szCs w:val="24"/>
        </w:rPr>
        <w:lastRenderedPageBreak/>
        <w:t>TEXTO PROPUESTO PARA PRIMER DEBATE</w:t>
      </w:r>
    </w:p>
    <w:p w:rsidR="003B03D9" w:rsidRPr="003757DA" w:rsidRDefault="003B03D9" w:rsidP="003B03D9">
      <w:pPr>
        <w:jc w:val="center"/>
        <w:rPr>
          <w:rFonts w:ascii="Bookman Old Style" w:eastAsia="Bookman Old Style" w:hAnsi="Bookman Old Style" w:cs="Bookman Old Style"/>
          <w:b/>
          <w:color w:val="000000"/>
          <w:sz w:val="24"/>
          <w:szCs w:val="24"/>
        </w:rPr>
      </w:pPr>
      <w:r w:rsidRPr="003757DA">
        <w:rPr>
          <w:rFonts w:ascii="Bookman Old Style" w:eastAsia="Bookman Old Style" w:hAnsi="Bookman Old Style" w:cs="Bookman Old Style"/>
          <w:color w:val="000000"/>
          <w:sz w:val="24"/>
          <w:szCs w:val="24"/>
        </w:rPr>
        <w:t xml:space="preserve">Proyecto de Ley No. </w:t>
      </w:r>
      <w:r w:rsidR="006A571E">
        <w:rPr>
          <w:rFonts w:ascii="Bookman Old Style" w:eastAsia="Bookman Old Style" w:hAnsi="Bookman Old Style" w:cs="Bookman Old Style"/>
          <w:color w:val="000000"/>
          <w:sz w:val="24"/>
          <w:szCs w:val="24"/>
        </w:rPr>
        <w:t>182</w:t>
      </w:r>
      <w:r>
        <w:rPr>
          <w:rFonts w:ascii="Bookman Old Style" w:eastAsia="Bookman Old Style" w:hAnsi="Bookman Old Style" w:cs="Bookman Old Style"/>
          <w:color w:val="000000"/>
          <w:sz w:val="24"/>
          <w:szCs w:val="24"/>
        </w:rPr>
        <w:t xml:space="preserve"> de 2023</w:t>
      </w:r>
      <w:r w:rsidRPr="003757DA">
        <w:rPr>
          <w:rFonts w:ascii="Bookman Old Style" w:eastAsia="Bookman Old Style" w:hAnsi="Bookman Old Style" w:cs="Bookman Old Style"/>
          <w:color w:val="000000"/>
          <w:sz w:val="24"/>
          <w:szCs w:val="24"/>
        </w:rPr>
        <w:t xml:space="preserve"> Cámara</w:t>
      </w:r>
    </w:p>
    <w:p w:rsidR="006A571E" w:rsidRDefault="006A571E" w:rsidP="003B03D9">
      <w:pPr>
        <w:spacing w:before="240" w:after="240"/>
        <w:jc w:val="center"/>
        <w:rPr>
          <w:rFonts w:ascii="Bookman Old Style" w:eastAsia="Bookman Old Style" w:hAnsi="Bookman Old Style" w:cs="Bookman Old Style"/>
          <w:b/>
          <w:sz w:val="24"/>
          <w:szCs w:val="24"/>
        </w:rPr>
      </w:pPr>
      <w:r w:rsidRPr="006A571E">
        <w:rPr>
          <w:rFonts w:ascii="Bookman Old Style" w:eastAsia="Bookman Old Style" w:hAnsi="Bookman Old Style" w:cs="Bookman Old Style"/>
          <w:b/>
          <w:sz w:val="24"/>
          <w:szCs w:val="24"/>
        </w:rPr>
        <w:t>“Por medio de la cual se modifica la edad del consentimiento sexual para menores de edad, se protege la libertad sexual de niños, niñas y adolescentes en Colombia y se dictan otras disposiciones”</w:t>
      </w:r>
    </w:p>
    <w:p w:rsidR="003B03D9" w:rsidRPr="00065473" w:rsidRDefault="003B03D9" w:rsidP="00065473">
      <w:pPr>
        <w:spacing w:before="240" w:after="240"/>
        <w:jc w:val="center"/>
        <w:rPr>
          <w:rFonts w:ascii="Bookman Old Style" w:eastAsia="Bookman Old Style" w:hAnsi="Bookman Old Style" w:cs="Bookman Old Style"/>
          <w:sz w:val="24"/>
          <w:szCs w:val="24"/>
        </w:rPr>
      </w:pPr>
      <w:r w:rsidRPr="003757DA">
        <w:rPr>
          <w:rFonts w:ascii="Bookman Old Style" w:eastAsia="Bookman Old Style" w:hAnsi="Bookman Old Style" w:cs="Bookman Old Style"/>
          <w:sz w:val="24"/>
          <w:szCs w:val="24"/>
        </w:rPr>
        <w:t>El Congreso de Colombia</w:t>
      </w:r>
      <w:bookmarkStart w:id="3" w:name="_heading=h.1fob9te" w:colFirst="0" w:colLast="0"/>
      <w:bookmarkStart w:id="4" w:name="_GoBack"/>
      <w:bookmarkEnd w:id="3"/>
      <w:bookmarkEnd w:id="4"/>
    </w:p>
    <w:p w:rsidR="006A571E" w:rsidRPr="006A571E" w:rsidRDefault="006A571E" w:rsidP="006A571E">
      <w:pPr>
        <w:jc w:val="both"/>
        <w:rPr>
          <w:rFonts w:ascii="Bookman Old Style" w:eastAsia="Bookman Old Style" w:hAnsi="Bookman Old Style" w:cs="Bookman Old Style"/>
          <w:color w:val="000000"/>
          <w:sz w:val="24"/>
          <w:szCs w:val="24"/>
        </w:rPr>
      </w:pPr>
      <w:r w:rsidRPr="006A571E">
        <w:rPr>
          <w:rFonts w:ascii="Bookman Old Style" w:eastAsia="Bookman Old Style" w:hAnsi="Bookman Old Style" w:cs="Bookman Old Style"/>
          <w:b/>
          <w:color w:val="000000"/>
          <w:sz w:val="24"/>
          <w:szCs w:val="24"/>
        </w:rPr>
        <w:t xml:space="preserve">Artículo 1°. Objeto. </w:t>
      </w:r>
      <w:r w:rsidRPr="006A571E">
        <w:rPr>
          <w:rFonts w:ascii="Bookman Old Style" w:eastAsia="Bookman Old Style" w:hAnsi="Bookman Old Style" w:cs="Bookman Old Style"/>
          <w:color w:val="000000"/>
          <w:sz w:val="24"/>
          <w:szCs w:val="24"/>
        </w:rPr>
        <w:t>La presente Ley tiene por objeto modificar la edad mínima en la que un menor de edad puede consentir relaciones sexuales, como estrategia de protección de niños niñas y adolescentes, de disminución de las cifras de embarazo y sus consecuencias.</w:t>
      </w:r>
    </w:p>
    <w:p w:rsidR="006A571E" w:rsidRPr="006A571E" w:rsidRDefault="006A571E" w:rsidP="006A571E">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r w:rsidRPr="006A571E">
        <w:rPr>
          <w:rFonts w:ascii="Bookman Old Style" w:eastAsia="Bookman Old Style" w:hAnsi="Bookman Old Style" w:cs="Bookman Old Style"/>
          <w:b/>
          <w:color w:val="000000"/>
          <w:sz w:val="24"/>
          <w:szCs w:val="24"/>
        </w:rPr>
        <w:t xml:space="preserve">Artículo 2°. </w:t>
      </w:r>
      <w:r w:rsidRPr="006A571E">
        <w:rPr>
          <w:rFonts w:ascii="Bookman Old Style" w:eastAsia="Bookman Old Style" w:hAnsi="Bookman Old Style" w:cs="Bookman Old Style"/>
          <w:color w:val="000000"/>
          <w:sz w:val="24"/>
          <w:szCs w:val="24"/>
        </w:rPr>
        <w:t>Modifíquese el artículo 208 de la Ley 599 de 2000, el cual quedará así:</w:t>
      </w:r>
    </w:p>
    <w:p w:rsidR="006A571E" w:rsidRPr="006A571E" w:rsidRDefault="006A571E" w:rsidP="006A571E">
      <w:pPr>
        <w:widowControl/>
        <w:pBdr>
          <w:top w:val="nil"/>
          <w:left w:val="nil"/>
          <w:bottom w:val="nil"/>
          <w:right w:val="nil"/>
          <w:between w:val="nil"/>
        </w:pBdr>
        <w:spacing w:line="276" w:lineRule="auto"/>
        <w:ind w:left="284" w:right="226"/>
        <w:jc w:val="both"/>
        <w:rPr>
          <w:rFonts w:ascii="Bookman Old Style" w:eastAsia="Bookman Old Style" w:hAnsi="Bookman Old Style" w:cs="Bookman Old Style"/>
          <w:b/>
          <w:sz w:val="24"/>
          <w:szCs w:val="24"/>
        </w:rPr>
      </w:pPr>
      <w:r w:rsidRPr="006A571E">
        <w:rPr>
          <w:rFonts w:ascii="Bookman Old Style" w:eastAsia="Bookman Old Style" w:hAnsi="Bookman Old Style" w:cs="Bookman Old Style"/>
          <w:b/>
          <w:bCs/>
          <w:color w:val="000000"/>
          <w:sz w:val="24"/>
          <w:szCs w:val="24"/>
        </w:rPr>
        <w:t>ARTÍCULO 208. ACCESO CARNAL ABUSIVO CON MENOR DE DIECISEIS AÑOS.</w:t>
      </w:r>
      <w:r w:rsidRPr="006A571E">
        <w:rPr>
          <w:rFonts w:ascii="Bookman Old Style" w:eastAsia="Bookman Old Style" w:hAnsi="Bookman Old Style" w:cs="Bookman Old Style"/>
          <w:color w:val="000000"/>
          <w:sz w:val="24"/>
          <w:szCs w:val="24"/>
        </w:rPr>
        <w:t xml:space="preserve"> El que acceda carnalmente a persona menor de dieciséis (16) años, incurrirá en prisión de doce (12) a veinte (20) años.</w:t>
      </w:r>
    </w:p>
    <w:p w:rsidR="006A571E" w:rsidRPr="006A571E" w:rsidRDefault="006A571E" w:rsidP="006A571E">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r w:rsidRPr="006A571E">
        <w:rPr>
          <w:rFonts w:ascii="Bookman Old Style" w:eastAsia="Bookman Old Style" w:hAnsi="Bookman Old Style" w:cs="Bookman Old Style"/>
          <w:b/>
          <w:color w:val="000000"/>
          <w:sz w:val="24"/>
          <w:szCs w:val="24"/>
        </w:rPr>
        <w:t xml:space="preserve">Artículo 3°. </w:t>
      </w:r>
      <w:r w:rsidRPr="006A571E">
        <w:rPr>
          <w:rFonts w:ascii="Bookman Old Style" w:eastAsia="Bookman Old Style" w:hAnsi="Bookman Old Style" w:cs="Bookman Old Style"/>
          <w:color w:val="000000"/>
          <w:sz w:val="24"/>
          <w:szCs w:val="24"/>
        </w:rPr>
        <w:t>Modifíquese el artículo 209 de la Ley 599 de 2000, el cual quedará así:</w:t>
      </w:r>
    </w:p>
    <w:p w:rsidR="006A571E" w:rsidRPr="006A571E" w:rsidRDefault="006A571E" w:rsidP="006A571E">
      <w:pPr>
        <w:pBdr>
          <w:top w:val="nil"/>
          <w:left w:val="nil"/>
          <w:bottom w:val="nil"/>
          <w:right w:val="nil"/>
          <w:between w:val="nil"/>
        </w:pBdr>
        <w:spacing w:before="280" w:after="280"/>
        <w:ind w:left="284" w:right="333"/>
        <w:jc w:val="both"/>
        <w:rPr>
          <w:rFonts w:ascii="Bookman Old Style" w:eastAsia="Bookman Old Style" w:hAnsi="Bookman Old Style" w:cs="Bookman Old Style"/>
          <w:color w:val="000000"/>
          <w:sz w:val="24"/>
          <w:szCs w:val="24"/>
        </w:rPr>
      </w:pPr>
      <w:r w:rsidRPr="006A571E">
        <w:rPr>
          <w:rFonts w:ascii="Bookman Old Style" w:eastAsia="Bookman Old Style" w:hAnsi="Bookman Old Style" w:cs="Bookman Old Style"/>
          <w:b/>
          <w:bCs/>
          <w:color w:val="000000"/>
          <w:sz w:val="24"/>
          <w:szCs w:val="24"/>
        </w:rPr>
        <w:t>ARTÍCULO 209. ACTOS SEXUALES CON MENOR DE DIECISEIS AÑOS.</w:t>
      </w:r>
      <w:r w:rsidRPr="006A571E">
        <w:rPr>
          <w:rFonts w:ascii="Bookman Old Style" w:eastAsia="Bookman Old Style" w:hAnsi="Bookman Old Style" w:cs="Bookman Old Style"/>
          <w:color w:val="000000"/>
          <w:sz w:val="24"/>
          <w:szCs w:val="24"/>
        </w:rPr>
        <w:t>  El que realizare actos sexuales diversos del acceso carnal con persona menor de dieciséis (16) años o en su presencia, o la induzca a prácticas sexuales, incurrirá en prisión de nueve (9) a trece (13) años.</w:t>
      </w:r>
    </w:p>
    <w:p w:rsidR="006A571E" w:rsidRPr="006A571E" w:rsidRDefault="006A571E" w:rsidP="006A571E">
      <w:pPr>
        <w:pBdr>
          <w:top w:val="nil"/>
          <w:left w:val="nil"/>
          <w:bottom w:val="nil"/>
          <w:right w:val="nil"/>
          <w:between w:val="nil"/>
        </w:pBdr>
        <w:spacing w:before="280" w:after="280"/>
        <w:ind w:right="333"/>
        <w:jc w:val="both"/>
        <w:rPr>
          <w:rFonts w:ascii="Bookman Old Style" w:eastAsia="Bookman Old Style" w:hAnsi="Bookman Old Style" w:cs="Bookman Old Style"/>
          <w:color w:val="000000"/>
          <w:sz w:val="24"/>
          <w:szCs w:val="24"/>
        </w:rPr>
      </w:pPr>
      <w:r w:rsidRPr="006A571E">
        <w:rPr>
          <w:rFonts w:ascii="Bookman Old Style" w:eastAsia="Bookman Old Style" w:hAnsi="Bookman Old Style" w:cs="Bookman Old Style"/>
          <w:b/>
          <w:color w:val="000000"/>
          <w:sz w:val="24"/>
          <w:szCs w:val="24"/>
        </w:rPr>
        <w:t xml:space="preserve">Artículo 4°. </w:t>
      </w:r>
      <w:r w:rsidRPr="006A571E">
        <w:rPr>
          <w:rFonts w:ascii="Bookman Old Style" w:eastAsia="Bookman Old Style" w:hAnsi="Bookman Old Style" w:cs="Bookman Old Style"/>
          <w:color w:val="000000"/>
          <w:sz w:val="24"/>
          <w:szCs w:val="24"/>
        </w:rPr>
        <w:t xml:space="preserve">Modifíquese el numeral primero del artículo 216 de la Ley 599 de 2000, así: </w:t>
      </w:r>
    </w:p>
    <w:p w:rsidR="006A571E" w:rsidRPr="006A571E" w:rsidRDefault="006A571E" w:rsidP="006A571E">
      <w:pPr>
        <w:pBdr>
          <w:top w:val="nil"/>
          <w:left w:val="nil"/>
          <w:bottom w:val="nil"/>
          <w:right w:val="nil"/>
          <w:between w:val="nil"/>
        </w:pBdr>
        <w:spacing w:before="280" w:after="280"/>
        <w:ind w:left="284" w:right="333"/>
        <w:jc w:val="both"/>
        <w:rPr>
          <w:rFonts w:ascii="Bookman Old Style" w:eastAsia="Bookman Old Style" w:hAnsi="Bookman Old Style" w:cs="Bookman Old Style"/>
          <w:sz w:val="24"/>
          <w:szCs w:val="24"/>
        </w:rPr>
      </w:pPr>
      <w:r w:rsidRPr="006A571E">
        <w:rPr>
          <w:rFonts w:ascii="Bookman Old Style" w:eastAsia="Bookman Old Style" w:hAnsi="Bookman Old Style" w:cs="Bookman Old Style"/>
          <w:b/>
          <w:bCs/>
          <w:sz w:val="24"/>
          <w:szCs w:val="24"/>
        </w:rPr>
        <w:t>ARTÍCULO 216. CIRCUNSTANCIAS DE AGRAVACIÓN PUNITIVA.</w:t>
      </w:r>
      <w:r w:rsidRPr="006A571E">
        <w:rPr>
          <w:rFonts w:ascii="Bookman Old Style" w:eastAsia="Bookman Old Style" w:hAnsi="Bookman Old Style" w:cs="Bookman Old Style"/>
          <w:b/>
          <w:sz w:val="24"/>
          <w:szCs w:val="24"/>
        </w:rPr>
        <w:t> </w:t>
      </w:r>
      <w:r w:rsidRPr="006A571E">
        <w:rPr>
          <w:rFonts w:ascii="Bookman Old Style" w:eastAsia="Bookman Old Style" w:hAnsi="Bookman Old Style" w:cs="Bookman Old Style"/>
          <w:sz w:val="24"/>
          <w:szCs w:val="24"/>
        </w:rPr>
        <w:t xml:space="preserve"> Las penas para los delitos descritos en los artículos anteriores, se aumentarán de una tercera parte a la mitad, cuando la conducta:</w:t>
      </w:r>
    </w:p>
    <w:p w:rsidR="006A571E" w:rsidRPr="006A571E" w:rsidRDefault="006A571E" w:rsidP="006A571E">
      <w:pPr>
        <w:pBdr>
          <w:top w:val="nil"/>
          <w:left w:val="nil"/>
          <w:bottom w:val="nil"/>
          <w:right w:val="nil"/>
          <w:between w:val="nil"/>
        </w:pBdr>
        <w:spacing w:before="280" w:after="280"/>
        <w:ind w:left="284" w:right="333"/>
        <w:jc w:val="both"/>
        <w:rPr>
          <w:rFonts w:ascii="Bookman Old Style" w:eastAsia="Bookman Old Style" w:hAnsi="Bookman Old Style" w:cs="Bookman Old Style"/>
          <w:sz w:val="24"/>
          <w:szCs w:val="24"/>
        </w:rPr>
      </w:pPr>
      <w:r w:rsidRPr="006A571E">
        <w:rPr>
          <w:rFonts w:ascii="Bookman Old Style" w:eastAsia="Bookman Old Style" w:hAnsi="Bookman Old Style" w:cs="Bookman Old Style"/>
          <w:sz w:val="24"/>
          <w:szCs w:val="24"/>
        </w:rPr>
        <w:t>1. Se realizare en persona menor de dieciséis (16) años.</w:t>
      </w:r>
    </w:p>
    <w:p w:rsidR="006A571E" w:rsidRPr="006A571E" w:rsidRDefault="006A571E" w:rsidP="006A571E">
      <w:pPr>
        <w:pBdr>
          <w:top w:val="nil"/>
          <w:left w:val="nil"/>
          <w:bottom w:val="nil"/>
          <w:right w:val="nil"/>
          <w:between w:val="nil"/>
        </w:pBdr>
        <w:spacing w:before="280" w:after="280"/>
        <w:ind w:right="333"/>
        <w:jc w:val="both"/>
        <w:rPr>
          <w:rFonts w:ascii="Bookman Old Style" w:eastAsia="Bookman Old Style" w:hAnsi="Bookman Old Style" w:cs="Bookman Old Style"/>
          <w:color w:val="000000"/>
          <w:sz w:val="24"/>
          <w:szCs w:val="24"/>
        </w:rPr>
      </w:pPr>
      <w:r w:rsidRPr="006A571E">
        <w:rPr>
          <w:rFonts w:ascii="Bookman Old Style" w:eastAsia="Bookman Old Style" w:hAnsi="Bookman Old Style" w:cs="Bookman Old Style"/>
          <w:b/>
          <w:color w:val="000000"/>
          <w:sz w:val="24"/>
          <w:szCs w:val="24"/>
        </w:rPr>
        <w:t xml:space="preserve">Artículo 5°. </w:t>
      </w:r>
      <w:r w:rsidRPr="006A571E">
        <w:rPr>
          <w:rFonts w:ascii="Bookman Old Style" w:eastAsia="Bookman Old Style" w:hAnsi="Bookman Old Style" w:cs="Bookman Old Style"/>
          <w:color w:val="000000"/>
          <w:sz w:val="24"/>
          <w:szCs w:val="24"/>
        </w:rPr>
        <w:t xml:space="preserve">Modifíquese el inciso segundo del parágrafo del artículo 53 de la Ley 1306 de 2009, así: </w:t>
      </w:r>
    </w:p>
    <w:p w:rsidR="006A571E" w:rsidRPr="006A571E" w:rsidRDefault="006A571E" w:rsidP="006A571E">
      <w:pPr>
        <w:pStyle w:val="NormalWeb"/>
        <w:spacing w:line="270" w:lineRule="atLeast"/>
        <w:ind w:left="284" w:right="333"/>
        <w:jc w:val="both"/>
        <w:rPr>
          <w:rFonts w:ascii="Bookman Old Style" w:eastAsia="Bookman Old Style" w:hAnsi="Bookman Old Style" w:cs="Bookman Old Style"/>
          <w:color w:val="000000"/>
        </w:rPr>
      </w:pPr>
      <w:r w:rsidRPr="006A571E">
        <w:rPr>
          <w:rFonts w:ascii="Bookman Old Style" w:eastAsia="Bookman Old Style" w:hAnsi="Bookman Old Style" w:cs="Bookman Old Style"/>
          <w:b/>
        </w:rPr>
        <w:t>PARÁGRAFO.</w:t>
      </w:r>
      <w:r w:rsidRPr="006A571E">
        <w:rPr>
          <w:rFonts w:ascii="Bookman Old Style" w:eastAsia="Bookman Old Style" w:hAnsi="Bookman Old Style" w:cs="Bookman Old Style"/>
          <w:color w:val="000000"/>
        </w:rPr>
        <w:t> Para todos los efectos legales el impúber se equipara al niño y niña definido en el artículo </w:t>
      </w:r>
      <w:hyperlink r:id="rId18" w:anchor="3" w:history="1">
        <w:r w:rsidRPr="006A571E">
          <w:rPr>
            <w:rFonts w:ascii="Bookman Old Style" w:eastAsia="Bookman Old Style" w:hAnsi="Bookman Old Style" w:cs="Bookman Old Style"/>
            <w:color w:val="000000"/>
          </w:rPr>
          <w:t>3</w:t>
        </w:r>
      </w:hyperlink>
      <w:r w:rsidRPr="006A571E">
        <w:rPr>
          <w:rFonts w:ascii="Bookman Old Style" w:eastAsia="Bookman Old Style" w:hAnsi="Bookman Old Style" w:cs="Bookman Old Style"/>
          <w:color w:val="000000"/>
        </w:rPr>
        <w:t xml:space="preserve">o del Código de la Infancia y Adolescencia. De igual manera, el menor adulto se </w:t>
      </w:r>
      <w:proofErr w:type="gramStart"/>
      <w:r w:rsidRPr="006A571E">
        <w:rPr>
          <w:rFonts w:ascii="Bookman Old Style" w:eastAsia="Bookman Old Style" w:hAnsi="Bookman Old Style" w:cs="Bookman Old Style"/>
          <w:color w:val="000000"/>
        </w:rPr>
        <w:t>equipara</w:t>
      </w:r>
      <w:proofErr w:type="gramEnd"/>
      <w:r w:rsidRPr="006A571E">
        <w:rPr>
          <w:rFonts w:ascii="Bookman Old Style" w:eastAsia="Bookman Old Style" w:hAnsi="Bookman Old Style" w:cs="Bookman Old Style"/>
          <w:color w:val="000000"/>
        </w:rPr>
        <w:t xml:space="preserve"> al adolescente de ese estatuto.</w:t>
      </w:r>
    </w:p>
    <w:p w:rsidR="006A571E" w:rsidRPr="006A571E" w:rsidRDefault="006A571E" w:rsidP="006A571E">
      <w:pPr>
        <w:pStyle w:val="NormalWeb"/>
        <w:spacing w:line="270" w:lineRule="atLeast"/>
        <w:ind w:left="284" w:right="333"/>
        <w:jc w:val="both"/>
        <w:rPr>
          <w:rFonts w:ascii="Bookman Old Style" w:eastAsia="Bookman Old Style" w:hAnsi="Bookman Old Style" w:cs="Bookman Old Style"/>
          <w:color w:val="000000"/>
        </w:rPr>
      </w:pPr>
      <w:r w:rsidRPr="006A571E">
        <w:rPr>
          <w:rFonts w:ascii="Bookman Old Style" w:eastAsia="Bookman Old Style" w:hAnsi="Bookman Old Style" w:cs="Bookman Old Style"/>
          <w:color w:val="000000"/>
        </w:rPr>
        <w:lastRenderedPageBreak/>
        <w:t xml:space="preserve">Con todo, la edad mínima para contraer matrimonio </w:t>
      </w:r>
      <w:r w:rsidRPr="006A571E">
        <w:rPr>
          <w:rFonts w:ascii="Bookman Old Style" w:eastAsia="Bookman Old Style" w:hAnsi="Bookman Old Style" w:cs="Bookman Old Style"/>
          <w:color w:val="000000"/>
          <w:u w:val="single"/>
        </w:rPr>
        <w:t>será de 16</w:t>
      </w:r>
      <w:r w:rsidRPr="006A571E">
        <w:rPr>
          <w:rFonts w:ascii="Bookman Old Style" w:eastAsia="Bookman Old Style" w:hAnsi="Bookman Old Style" w:cs="Bookman Old Style"/>
          <w:color w:val="000000"/>
        </w:rPr>
        <w:t xml:space="preserve"> años, tanto para los varones como para las mujeres.</w:t>
      </w:r>
    </w:p>
    <w:p w:rsidR="006A571E" w:rsidRPr="006A571E" w:rsidRDefault="006A571E" w:rsidP="006A571E">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r w:rsidRPr="006A571E">
        <w:rPr>
          <w:rFonts w:ascii="Bookman Old Style" w:eastAsia="Bookman Old Style" w:hAnsi="Bookman Old Style" w:cs="Bookman Old Style"/>
          <w:b/>
          <w:color w:val="000000"/>
          <w:sz w:val="24"/>
          <w:szCs w:val="24"/>
        </w:rPr>
        <w:t xml:space="preserve">Artículo 6°.  </w:t>
      </w:r>
      <w:r w:rsidRPr="006A571E">
        <w:rPr>
          <w:rFonts w:ascii="Bookman Old Style" w:eastAsia="Bookman Old Style" w:hAnsi="Bookman Old Style" w:cs="Bookman Old Style"/>
          <w:color w:val="000000"/>
          <w:sz w:val="24"/>
          <w:szCs w:val="24"/>
        </w:rPr>
        <w:t xml:space="preserve">Lo estipulado en el presente proyecto respetará los derechos, costumbres y tratamientos especiales que la legislación colombiana le otorga a las poblaciones indígenas.  </w:t>
      </w:r>
    </w:p>
    <w:p w:rsidR="006A571E" w:rsidRPr="006A571E" w:rsidRDefault="006A571E" w:rsidP="006A571E">
      <w:pPr>
        <w:pBdr>
          <w:top w:val="nil"/>
          <w:left w:val="nil"/>
          <w:bottom w:val="nil"/>
          <w:right w:val="nil"/>
          <w:between w:val="nil"/>
        </w:pBdr>
        <w:spacing w:before="280" w:after="280"/>
        <w:jc w:val="both"/>
        <w:rPr>
          <w:rFonts w:ascii="Bookman Old Style" w:eastAsia="Bookman Old Style" w:hAnsi="Bookman Old Style" w:cs="Bookman Old Style"/>
          <w:color w:val="000000"/>
          <w:sz w:val="24"/>
          <w:szCs w:val="24"/>
        </w:rPr>
      </w:pPr>
      <w:r w:rsidRPr="006A571E">
        <w:rPr>
          <w:rFonts w:ascii="Bookman Old Style" w:eastAsia="Bookman Old Style" w:hAnsi="Bookman Old Style" w:cs="Bookman Old Style"/>
          <w:b/>
          <w:color w:val="000000"/>
          <w:sz w:val="24"/>
          <w:szCs w:val="24"/>
        </w:rPr>
        <w:t xml:space="preserve">Artículo 7°. Vigencia y Derogatorias. </w:t>
      </w:r>
      <w:r w:rsidRPr="006A571E">
        <w:rPr>
          <w:rFonts w:ascii="Bookman Old Style" w:eastAsia="Bookman Old Style" w:hAnsi="Bookman Old Style" w:cs="Bookman Old Style"/>
          <w:color w:val="000000"/>
          <w:sz w:val="24"/>
          <w:szCs w:val="24"/>
        </w:rPr>
        <w:t xml:space="preserve">La presente ley deroga las disposiciones que le sean contrarias y rige a partir de la fecha de su promulgación. </w:t>
      </w:r>
    </w:p>
    <w:p w:rsidR="003B03D9" w:rsidRPr="003757DA" w:rsidRDefault="003B03D9" w:rsidP="003B03D9">
      <w:pPr>
        <w:widowControl/>
        <w:pBdr>
          <w:top w:val="nil"/>
          <w:left w:val="nil"/>
          <w:bottom w:val="nil"/>
          <w:right w:val="nil"/>
          <w:between w:val="nil"/>
        </w:pBdr>
        <w:spacing w:line="276" w:lineRule="auto"/>
        <w:jc w:val="both"/>
        <w:rPr>
          <w:rFonts w:ascii="Bookman Old Style" w:eastAsia="Bookman Old Style" w:hAnsi="Bookman Old Style" w:cs="Bookman Old Style"/>
          <w:color w:val="000000"/>
          <w:sz w:val="24"/>
          <w:szCs w:val="24"/>
        </w:rPr>
      </w:pPr>
      <w:r w:rsidRPr="003757DA">
        <w:rPr>
          <w:rFonts w:ascii="Bookman Old Style" w:eastAsia="Bookman Old Style" w:hAnsi="Bookman Old Style" w:cs="Bookman Old Style"/>
          <w:color w:val="000000"/>
          <w:sz w:val="24"/>
          <w:szCs w:val="24"/>
        </w:rPr>
        <w:t>De los Honorables Representantes,</w:t>
      </w:r>
    </w:p>
    <w:p w:rsidR="003B03D9" w:rsidRPr="003757DA" w:rsidRDefault="003B03D9" w:rsidP="003B03D9">
      <w:pPr>
        <w:widowControl/>
        <w:pBdr>
          <w:top w:val="nil"/>
          <w:left w:val="nil"/>
          <w:bottom w:val="nil"/>
          <w:right w:val="nil"/>
          <w:between w:val="nil"/>
        </w:pBdr>
        <w:spacing w:line="276" w:lineRule="auto"/>
        <w:jc w:val="both"/>
        <w:rPr>
          <w:rFonts w:ascii="Bookman Old Style" w:eastAsia="Bookman Old Style" w:hAnsi="Bookman Old Style" w:cs="Bookman Old Style"/>
          <w:color w:val="000000"/>
          <w:sz w:val="24"/>
          <w:szCs w:val="24"/>
        </w:rPr>
      </w:pPr>
    </w:p>
    <w:p w:rsidR="003B03D9" w:rsidRPr="003757DA" w:rsidRDefault="003B03D9" w:rsidP="003B03D9">
      <w:pPr>
        <w:widowControl/>
        <w:pBdr>
          <w:top w:val="nil"/>
          <w:left w:val="nil"/>
          <w:bottom w:val="nil"/>
          <w:right w:val="nil"/>
          <w:between w:val="nil"/>
        </w:pBdr>
        <w:spacing w:line="276" w:lineRule="auto"/>
        <w:jc w:val="both"/>
        <w:rPr>
          <w:rFonts w:ascii="Bookman Old Style" w:eastAsia="Bookman Old Style" w:hAnsi="Bookman Old Style" w:cs="Bookman Old Style"/>
          <w:color w:val="000000"/>
          <w:sz w:val="24"/>
          <w:szCs w:val="24"/>
        </w:rPr>
      </w:pPr>
    </w:p>
    <w:p w:rsidR="003B03D9" w:rsidRPr="003757DA" w:rsidRDefault="003B03D9" w:rsidP="003B03D9">
      <w:pPr>
        <w:widowControl/>
        <w:pBdr>
          <w:top w:val="nil"/>
          <w:left w:val="nil"/>
          <w:bottom w:val="nil"/>
          <w:right w:val="nil"/>
          <w:between w:val="nil"/>
        </w:pBdr>
        <w:spacing w:line="276" w:lineRule="auto"/>
        <w:jc w:val="both"/>
        <w:rPr>
          <w:rFonts w:ascii="Bookman Old Style" w:eastAsia="Bookman Old Style" w:hAnsi="Bookman Old Style" w:cs="Bookman Old Style"/>
          <w:color w:val="000000"/>
          <w:sz w:val="24"/>
          <w:szCs w:val="24"/>
        </w:rPr>
      </w:pPr>
    </w:p>
    <w:p w:rsidR="003B03D9" w:rsidRPr="003757DA" w:rsidRDefault="003B03D9" w:rsidP="003B03D9">
      <w:pPr>
        <w:widowControl/>
        <w:pBdr>
          <w:top w:val="nil"/>
          <w:left w:val="nil"/>
          <w:bottom w:val="nil"/>
          <w:right w:val="nil"/>
          <w:between w:val="nil"/>
        </w:pBdr>
        <w:spacing w:line="276" w:lineRule="auto"/>
        <w:jc w:val="both"/>
        <w:rPr>
          <w:rFonts w:ascii="Bookman Old Style" w:eastAsia="Bookman Old Style" w:hAnsi="Bookman Old Style" w:cs="Bookman Old Style"/>
          <w:color w:val="000000"/>
          <w:sz w:val="24"/>
          <w:szCs w:val="24"/>
        </w:rPr>
      </w:pPr>
    </w:p>
    <w:p w:rsidR="003B03D9" w:rsidRPr="003757DA" w:rsidRDefault="003B03D9" w:rsidP="003B03D9">
      <w:pPr>
        <w:widowControl/>
        <w:pBdr>
          <w:top w:val="nil"/>
          <w:left w:val="nil"/>
          <w:bottom w:val="nil"/>
          <w:right w:val="nil"/>
          <w:between w:val="nil"/>
        </w:pBdr>
        <w:spacing w:line="276" w:lineRule="auto"/>
        <w:jc w:val="both"/>
        <w:rPr>
          <w:rFonts w:ascii="Bookman Old Style" w:eastAsia="Bookman Old Style" w:hAnsi="Bookman Old Style" w:cs="Bookman Old Style"/>
          <w:b/>
          <w:color w:val="000000"/>
          <w:sz w:val="24"/>
          <w:szCs w:val="24"/>
        </w:rPr>
      </w:pPr>
      <w:r w:rsidRPr="003757DA">
        <w:rPr>
          <w:rFonts w:ascii="Bookman Old Style" w:eastAsia="Bookman Old Style" w:hAnsi="Bookman Old Style" w:cs="Bookman Old Style"/>
          <w:b/>
          <w:color w:val="000000"/>
          <w:sz w:val="24"/>
          <w:szCs w:val="24"/>
        </w:rPr>
        <w:t>KARYME A. COTES MARTÍNEZ</w:t>
      </w:r>
      <w:r w:rsidRPr="003757DA">
        <w:rPr>
          <w:rFonts w:ascii="Bookman Old Style" w:eastAsia="Bookman Old Style" w:hAnsi="Bookman Old Style" w:cs="Bookman Old Style"/>
          <w:b/>
          <w:color w:val="000000"/>
          <w:sz w:val="24"/>
          <w:szCs w:val="24"/>
        </w:rPr>
        <w:tab/>
      </w:r>
      <w:r w:rsidRPr="003757DA">
        <w:rPr>
          <w:rFonts w:ascii="Bookman Old Style" w:eastAsia="Bookman Old Style" w:hAnsi="Bookman Old Style" w:cs="Bookman Old Style"/>
          <w:b/>
          <w:color w:val="000000"/>
          <w:sz w:val="24"/>
          <w:szCs w:val="24"/>
        </w:rPr>
        <w:tab/>
      </w:r>
      <w:r w:rsidRPr="003757DA">
        <w:rPr>
          <w:rFonts w:ascii="Bookman Old Style" w:eastAsia="Bookman Old Style" w:hAnsi="Bookman Old Style" w:cs="Bookman Old Style"/>
          <w:b/>
          <w:color w:val="000000"/>
          <w:sz w:val="24"/>
          <w:szCs w:val="24"/>
        </w:rPr>
        <w:tab/>
      </w:r>
    </w:p>
    <w:p w:rsidR="003B03D9" w:rsidRPr="003757DA" w:rsidRDefault="003B03D9" w:rsidP="003B03D9">
      <w:pPr>
        <w:widowControl/>
        <w:pBdr>
          <w:top w:val="nil"/>
          <w:left w:val="nil"/>
          <w:bottom w:val="nil"/>
          <w:right w:val="nil"/>
          <w:between w:val="nil"/>
        </w:pBdr>
        <w:spacing w:line="276" w:lineRule="auto"/>
        <w:jc w:val="both"/>
        <w:rPr>
          <w:rFonts w:ascii="Bookman Old Style" w:eastAsia="Bookman Old Style" w:hAnsi="Bookman Old Style" w:cs="Bookman Old Style"/>
          <w:color w:val="000000"/>
          <w:sz w:val="24"/>
          <w:szCs w:val="24"/>
        </w:rPr>
      </w:pPr>
      <w:r w:rsidRPr="003757DA">
        <w:rPr>
          <w:rFonts w:ascii="Bookman Old Style" w:eastAsia="Bookman Old Style" w:hAnsi="Bookman Old Style" w:cs="Bookman Old Style"/>
          <w:color w:val="000000"/>
          <w:sz w:val="24"/>
          <w:szCs w:val="24"/>
        </w:rPr>
        <w:t>Representante a la Cámara</w:t>
      </w:r>
      <w:r w:rsidRPr="003757DA">
        <w:rPr>
          <w:rFonts w:ascii="Bookman Old Style" w:eastAsia="Bookman Old Style" w:hAnsi="Bookman Old Style" w:cs="Bookman Old Style"/>
          <w:color w:val="000000"/>
          <w:sz w:val="24"/>
          <w:szCs w:val="24"/>
        </w:rPr>
        <w:tab/>
      </w:r>
      <w:r w:rsidRPr="003757DA">
        <w:rPr>
          <w:rFonts w:ascii="Bookman Old Style" w:eastAsia="Bookman Old Style" w:hAnsi="Bookman Old Style" w:cs="Bookman Old Style"/>
          <w:color w:val="000000"/>
          <w:sz w:val="24"/>
          <w:szCs w:val="24"/>
        </w:rPr>
        <w:tab/>
      </w:r>
      <w:r w:rsidRPr="003757DA">
        <w:rPr>
          <w:rFonts w:ascii="Bookman Old Style" w:eastAsia="Bookman Old Style" w:hAnsi="Bookman Old Style" w:cs="Bookman Old Style"/>
          <w:color w:val="000000"/>
          <w:sz w:val="24"/>
          <w:szCs w:val="24"/>
        </w:rPr>
        <w:tab/>
      </w:r>
      <w:r w:rsidRPr="003757DA">
        <w:rPr>
          <w:rFonts w:ascii="Bookman Old Style" w:eastAsia="Bookman Old Style" w:hAnsi="Bookman Old Style" w:cs="Bookman Old Style"/>
          <w:color w:val="000000"/>
          <w:sz w:val="24"/>
          <w:szCs w:val="24"/>
        </w:rPr>
        <w:tab/>
      </w:r>
    </w:p>
    <w:p w:rsidR="003B03D9" w:rsidRDefault="003B03D9" w:rsidP="003B03D9">
      <w:pPr>
        <w:widowControl/>
        <w:pBdr>
          <w:top w:val="nil"/>
          <w:left w:val="nil"/>
          <w:bottom w:val="nil"/>
          <w:right w:val="nil"/>
          <w:between w:val="nil"/>
        </w:pBdr>
        <w:spacing w:line="276" w:lineRule="auto"/>
        <w:jc w:val="both"/>
      </w:pPr>
      <w:r>
        <w:rPr>
          <w:rFonts w:ascii="Bookman Old Style" w:eastAsia="Bookman Old Style" w:hAnsi="Bookman Old Style" w:cs="Bookman Old Style"/>
          <w:color w:val="000000"/>
          <w:sz w:val="24"/>
          <w:szCs w:val="24"/>
        </w:rPr>
        <w:t>Ponente</w:t>
      </w:r>
      <w:r>
        <w:rPr>
          <w:rFonts w:ascii="Bookman Old Style" w:eastAsia="Bookman Old Style" w:hAnsi="Bookman Old Style" w:cs="Bookman Old Style"/>
          <w:color w:val="000000"/>
          <w:sz w:val="24"/>
          <w:szCs w:val="24"/>
        </w:rPr>
        <w:tab/>
      </w:r>
      <w:r>
        <w:rPr>
          <w:rFonts w:ascii="Bookman Old Style" w:eastAsia="Bookman Old Style" w:hAnsi="Bookman Old Style" w:cs="Bookman Old Style"/>
          <w:color w:val="000000"/>
          <w:sz w:val="24"/>
          <w:szCs w:val="24"/>
        </w:rPr>
        <w:tab/>
      </w:r>
      <w:r>
        <w:rPr>
          <w:rFonts w:ascii="Bookman Old Style" w:eastAsia="Bookman Old Style" w:hAnsi="Bookman Old Style" w:cs="Bookman Old Style"/>
          <w:color w:val="000000"/>
          <w:sz w:val="24"/>
          <w:szCs w:val="24"/>
        </w:rPr>
        <w:tab/>
      </w:r>
      <w:r>
        <w:rPr>
          <w:rFonts w:ascii="Bookman Old Style" w:eastAsia="Bookman Old Style" w:hAnsi="Bookman Old Style" w:cs="Bookman Old Style"/>
          <w:color w:val="000000"/>
          <w:sz w:val="24"/>
          <w:szCs w:val="24"/>
        </w:rPr>
        <w:tab/>
      </w:r>
      <w:r>
        <w:rPr>
          <w:rFonts w:ascii="Bookman Old Style" w:eastAsia="Bookman Old Style" w:hAnsi="Bookman Old Style" w:cs="Bookman Old Style"/>
          <w:color w:val="000000"/>
          <w:sz w:val="24"/>
          <w:szCs w:val="24"/>
        </w:rPr>
        <w:tab/>
      </w:r>
    </w:p>
    <w:p w:rsidR="003B03D9" w:rsidRDefault="003B03D9" w:rsidP="003B03D9"/>
    <w:p w:rsidR="00711804" w:rsidRDefault="00711804"/>
    <w:sectPr w:rsidR="00711804" w:rsidSect="009B6EA0">
      <w:headerReference w:type="default" r:id="rId19"/>
      <w:footerReference w:type="default" r:id="rId20"/>
      <w:pgSz w:w="12240" w:h="15840" w:code="1"/>
      <w:pgMar w:top="1985" w:right="1320" w:bottom="840" w:left="1340" w:header="609" w:footer="64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0BAF" w:rsidRDefault="00650BAF" w:rsidP="003B03D9">
      <w:r>
        <w:separator/>
      </w:r>
    </w:p>
  </w:endnote>
  <w:endnote w:type="continuationSeparator" w:id="0">
    <w:p w:rsidR="00650BAF" w:rsidRDefault="00650BAF" w:rsidP="003B0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re Franklin">
    <w:altName w:val="MV Bol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62031"/>
      <w:docPartObj>
        <w:docPartGallery w:val="Page Numbers (Bottom of Page)"/>
        <w:docPartUnique/>
      </w:docPartObj>
    </w:sdtPr>
    <w:sdtEndPr/>
    <w:sdtContent>
      <w:p w:rsidR="00650BAF" w:rsidRDefault="00650BAF">
        <w:pPr>
          <w:pStyle w:val="Piedepgina"/>
          <w:jc w:val="right"/>
        </w:pPr>
        <w:r>
          <w:fldChar w:fldCharType="begin"/>
        </w:r>
        <w:r>
          <w:instrText>PAGE   \* MERGEFORMAT</w:instrText>
        </w:r>
        <w:r>
          <w:fldChar w:fldCharType="separate"/>
        </w:r>
        <w:r w:rsidR="009A4183" w:rsidRPr="009A4183">
          <w:rPr>
            <w:noProof/>
            <w:lang w:val="es-ES"/>
          </w:rPr>
          <w:t>26</w:t>
        </w:r>
        <w:r>
          <w:fldChar w:fldCharType="end"/>
        </w:r>
      </w:p>
    </w:sdtContent>
  </w:sdt>
  <w:p w:rsidR="00650BAF" w:rsidRDefault="00650BAF">
    <w:pPr>
      <w:pBdr>
        <w:top w:val="nil"/>
        <w:left w:val="nil"/>
        <w:bottom w:val="nil"/>
        <w:right w:val="nil"/>
        <w:between w:val="nil"/>
      </w:pBdr>
      <w:tabs>
        <w:tab w:val="center" w:pos="4419"/>
        <w:tab w:val="right" w:pos="8838"/>
      </w:tabs>
      <w:jc w:val="center"/>
      <w:rPr>
        <w:rFonts w:ascii="Libre Franklin" w:eastAsia="Libre Franklin" w:hAnsi="Libre Franklin" w:cs="Libre Franklin"/>
        <w:b/>
        <w:i/>
        <w:color w:val="000000"/>
        <w:sz w:val="18"/>
        <w:szCs w:val="18"/>
      </w:rPr>
    </w:pPr>
    <w:r>
      <w:rPr>
        <w:noProof/>
        <w:lang w:bidi="ar-SA"/>
      </w:rPr>
      <w:drawing>
        <wp:anchor distT="0" distB="0" distL="114300" distR="114300" simplePos="0" relativeHeight="251660288" behindDoc="0" locked="0" layoutInCell="1" hidden="0" allowOverlap="1" wp14:anchorId="0192404D" wp14:editId="62B96AA4">
          <wp:simplePos x="0" y="0"/>
          <wp:positionH relativeFrom="margin">
            <wp:align>center</wp:align>
          </wp:positionH>
          <wp:positionV relativeFrom="paragraph">
            <wp:posOffset>8890</wp:posOffset>
          </wp:positionV>
          <wp:extent cx="3111500" cy="266700"/>
          <wp:effectExtent l="0" t="0" r="0" b="0"/>
          <wp:wrapSquare wrapText="bothSides" distT="0" distB="0" distL="114300" distR="11430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111500" cy="2667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0BAF" w:rsidRDefault="00650BAF" w:rsidP="003B03D9">
      <w:r>
        <w:separator/>
      </w:r>
    </w:p>
  </w:footnote>
  <w:footnote w:type="continuationSeparator" w:id="0">
    <w:p w:rsidR="00650BAF" w:rsidRDefault="00650BAF" w:rsidP="003B03D9">
      <w:r>
        <w:continuationSeparator/>
      </w:r>
    </w:p>
  </w:footnote>
  <w:footnote w:id="1">
    <w:p w:rsidR="00650BAF" w:rsidRPr="00337831" w:rsidRDefault="00650BAF" w:rsidP="00650BAF">
      <w:pPr>
        <w:pStyle w:val="Textonotapie"/>
        <w:rPr>
          <w:lang w:val="es-ES"/>
        </w:rPr>
      </w:pPr>
      <w:r>
        <w:rPr>
          <w:rStyle w:val="Refdenotaalpie"/>
        </w:rPr>
        <w:footnoteRef/>
      </w:r>
      <w:r>
        <w:t xml:space="preserve"> </w:t>
      </w:r>
      <w:r>
        <w:rPr>
          <w:lang w:val="es-ES"/>
        </w:rPr>
        <w:t xml:space="preserve">Corte Suprema de Justicia. Casación No. 29117. </w:t>
      </w:r>
      <w:proofErr w:type="spellStart"/>
      <w:r>
        <w:rPr>
          <w:lang w:val="es-ES"/>
        </w:rPr>
        <w:t>Mag</w:t>
      </w:r>
      <w:proofErr w:type="spellEnd"/>
      <w:r>
        <w:rPr>
          <w:lang w:val="es-ES"/>
        </w:rPr>
        <w:t>. Ponente Ciro Mora Rivera.</w:t>
      </w:r>
    </w:p>
  </w:footnote>
  <w:footnote w:id="2">
    <w:p w:rsidR="00650BAF" w:rsidRPr="00C75C84" w:rsidRDefault="00650BAF" w:rsidP="00650BAF">
      <w:pPr>
        <w:pStyle w:val="Textonotapie"/>
        <w:rPr>
          <w:lang w:val="es-CO"/>
        </w:rPr>
      </w:pPr>
      <w:r>
        <w:rPr>
          <w:rStyle w:val="Refdenotaalpie"/>
        </w:rPr>
        <w:footnoteRef/>
      </w:r>
      <w:r>
        <w:t xml:space="preserve"> </w:t>
      </w:r>
      <w:r w:rsidRPr="00C75C84">
        <w:t>https://www.who.int/es/news-room/fact-sheets/detail/adolescent-pregnancy</w:t>
      </w:r>
    </w:p>
  </w:footnote>
  <w:footnote w:id="3">
    <w:p w:rsidR="00650BAF" w:rsidRPr="00C75C84" w:rsidRDefault="00650BAF" w:rsidP="00650BAF">
      <w:pPr>
        <w:pStyle w:val="Textonotapie"/>
        <w:rPr>
          <w:lang w:val="es-CO"/>
        </w:rPr>
      </w:pPr>
      <w:r>
        <w:rPr>
          <w:rStyle w:val="Refdenotaalpie"/>
        </w:rPr>
        <w:footnoteRef/>
      </w:r>
      <w:r>
        <w:t xml:space="preserve"> </w:t>
      </w:r>
      <w:r w:rsidRPr="00C75C84">
        <w:t>https://datos.bancomundial.org/indicator/SP.ADO.TFRT</w:t>
      </w:r>
    </w:p>
  </w:footnote>
  <w:footnote w:id="4">
    <w:p w:rsidR="00650BAF" w:rsidRPr="007D3D17" w:rsidRDefault="00650BAF" w:rsidP="00650BAF">
      <w:pPr>
        <w:pStyle w:val="Textonotapie"/>
        <w:rPr>
          <w:lang w:val="es-ES"/>
        </w:rPr>
      </w:pPr>
      <w:r>
        <w:rPr>
          <w:rStyle w:val="Refdenotaalpie"/>
        </w:rPr>
        <w:footnoteRef/>
      </w:r>
      <w:r>
        <w:t xml:space="preserve"> </w:t>
      </w:r>
      <w:r>
        <w:rPr>
          <w:lang w:val="es-ES"/>
        </w:rPr>
        <w:t>Embarazo infantil y adolescente en Colombia, noviembre de 2022.</w:t>
      </w:r>
    </w:p>
  </w:footnote>
  <w:footnote w:id="5">
    <w:p w:rsidR="00650BAF" w:rsidRPr="006F107A" w:rsidRDefault="00650BAF" w:rsidP="00650BAF">
      <w:pPr>
        <w:pStyle w:val="Textonotapie"/>
        <w:rPr>
          <w:lang w:val="es-ES"/>
        </w:rPr>
      </w:pPr>
      <w:r>
        <w:rPr>
          <w:rStyle w:val="Refdenotaalpie"/>
        </w:rPr>
        <w:footnoteRef/>
      </w:r>
      <w:r>
        <w:t xml:space="preserve"> </w:t>
      </w:r>
      <w:r>
        <w:rPr>
          <w:lang w:val="es-ES"/>
        </w:rPr>
        <w:t>Revista de Atención Primaria, Madrid 2009.</w:t>
      </w:r>
    </w:p>
  </w:footnote>
  <w:footnote w:id="6">
    <w:p w:rsidR="00650BAF" w:rsidRPr="000B31B0" w:rsidRDefault="00650BAF" w:rsidP="00650BAF">
      <w:pPr>
        <w:pStyle w:val="Textonotapie"/>
        <w:rPr>
          <w:lang w:val="es-ES"/>
        </w:rPr>
      </w:pPr>
      <w:r>
        <w:rPr>
          <w:rStyle w:val="Refdenotaalpie"/>
        </w:rPr>
        <w:footnoteRef/>
      </w:r>
      <w:r>
        <w:t xml:space="preserve"> </w:t>
      </w:r>
      <w:r>
        <w:rPr>
          <w:lang w:val="es-ES"/>
        </w:rPr>
        <w:t>¿Cuándo se alcanza la madurez sexual, Univ. De Navarra, 2013.</w:t>
      </w:r>
    </w:p>
  </w:footnote>
  <w:footnote w:id="7">
    <w:p w:rsidR="008071C1" w:rsidRPr="00EC5340" w:rsidRDefault="008071C1" w:rsidP="008071C1">
      <w:pPr>
        <w:pStyle w:val="Textonotapie"/>
        <w:rPr>
          <w:lang w:val="es-ES"/>
        </w:rPr>
      </w:pPr>
      <w:r>
        <w:rPr>
          <w:rStyle w:val="Refdenotaalpie"/>
        </w:rPr>
        <w:footnoteRef/>
      </w:r>
      <w:r>
        <w:t xml:space="preserve"> </w:t>
      </w:r>
      <w:proofErr w:type="spellStart"/>
      <w:r>
        <w:rPr>
          <w:lang w:val="es-ES"/>
        </w:rPr>
        <w:t>Guiomar</w:t>
      </w:r>
      <w:proofErr w:type="spellEnd"/>
      <w:r>
        <w:rPr>
          <w:lang w:val="es-ES"/>
        </w:rPr>
        <w:t xml:space="preserve"> </w:t>
      </w:r>
      <w:proofErr w:type="spellStart"/>
      <w:r>
        <w:rPr>
          <w:lang w:val="es-ES"/>
        </w:rPr>
        <w:t>Merodio</w:t>
      </w:r>
      <w:proofErr w:type="spellEnd"/>
      <w:r>
        <w:rPr>
          <w:lang w:val="es-ES"/>
        </w:rPr>
        <w:t>, 2019.</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BAF" w:rsidRDefault="00650BAF">
    <w:pPr>
      <w:pBdr>
        <w:top w:val="nil"/>
        <w:left w:val="nil"/>
        <w:bottom w:val="nil"/>
        <w:right w:val="nil"/>
        <w:between w:val="nil"/>
      </w:pBdr>
      <w:spacing w:line="14" w:lineRule="auto"/>
      <w:rPr>
        <w:color w:val="000000"/>
        <w:sz w:val="20"/>
        <w:szCs w:val="20"/>
      </w:rPr>
    </w:pPr>
  </w:p>
  <w:p w:rsidR="00650BAF" w:rsidRDefault="00650BAF">
    <w:pPr>
      <w:pBdr>
        <w:top w:val="nil"/>
        <w:left w:val="nil"/>
        <w:bottom w:val="nil"/>
        <w:right w:val="nil"/>
        <w:between w:val="nil"/>
      </w:pBdr>
      <w:spacing w:line="14" w:lineRule="auto"/>
      <w:rPr>
        <w:color w:val="000000"/>
        <w:sz w:val="20"/>
        <w:szCs w:val="20"/>
      </w:rPr>
    </w:pPr>
  </w:p>
  <w:p w:rsidR="00650BAF" w:rsidRDefault="00650BAF">
    <w:pPr>
      <w:pBdr>
        <w:top w:val="nil"/>
        <w:left w:val="nil"/>
        <w:bottom w:val="nil"/>
        <w:right w:val="nil"/>
        <w:between w:val="nil"/>
      </w:pBdr>
      <w:spacing w:line="14" w:lineRule="auto"/>
      <w:rPr>
        <w:color w:val="000000"/>
        <w:sz w:val="20"/>
        <w:szCs w:val="20"/>
      </w:rPr>
    </w:pPr>
  </w:p>
  <w:p w:rsidR="00650BAF" w:rsidRDefault="00650BAF">
    <w:pPr>
      <w:pBdr>
        <w:top w:val="nil"/>
        <w:left w:val="nil"/>
        <w:bottom w:val="nil"/>
        <w:right w:val="nil"/>
        <w:between w:val="nil"/>
      </w:pBdr>
      <w:spacing w:line="14" w:lineRule="auto"/>
      <w:rPr>
        <w:color w:val="000000"/>
        <w:sz w:val="20"/>
        <w:szCs w:val="20"/>
      </w:rPr>
    </w:pPr>
  </w:p>
  <w:p w:rsidR="00650BAF" w:rsidRDefault="00650BAF">
    <w:pPr>
      <w:pBdr>
        <w:top w:val="nil"/>
        <w:left w:val="nil"/>
        <w:bottom w:val="nil"/>
        <w:right w:val="nil"/>
        <w:between w:val="nil"/>
      </w:pBdr>
      <w:spacing w:line="14" w:lineRule="auto"/>
      <w:rPr>
        <w:color w:val="000000"/>
        <w:sz w:val="20"/>
        <w:szCs w:val="20"/>
      </w:rPr>
    </w:pPr>
  </w:p>
  <w:p w:rsidR="00650BAF" w:rsidRDefault="00650BAF">
    <w:pPr>
      <w:pBdr>
        <w:top w:val="nil"/>
        <w:left w:val="nil"/>
        <w:bottom w:val="nil"/>
        <w:right w:val="nil"/>
        <w:between w:val="nil"/>
      </w:pBdr>
      <w:spacing w:line="14" w:lineRule="auto"/>
      <w:rPr>
        <w:color w:val="000000"/>
        <w:sz w:val="20"/>
        <w:szCs w:val="20"/>
      </w:rPr>
    </w:pPr>
  </w:p>
  <w:p w:rsidR="00650BAF" w:rsidRDefault="00650BAF">
    <w:pPr>
      <w:pBdr>
        <w:top w:val="nil"/>
        <w:left w:val="nil"/>
        <w:bottom w:val="nil"/>
        <w:right w:val="nil"/>
        <w:between w:val="nil"/>
      </w:pBdr>
      <w:spacing w:line="14" w:lineRule="auto"/>
      <w:rPr>
        <w:color w:val="000000"/>
        <w:sz w:val="20"/>
        <w:szCs w:val="20"/>
      </w:rPr>
    </w:pPr>
  </w:p>
  <w:p w:rsidR="00650BAF" w:rsidRDefault="00650BAF">
    <w:pPr>
      <w:pBdr>
        <w:top w:val="nil"/>
        <w:left w:val="nil"/>
        <w:bottom w:val="nil"/>
        <w:right w:val="nil"/>
        <w:between w:val="nil"/>
      </w:pBdr>
      <w:spacing w:line="14" w:lineRule="auto"/>
      <w:rPr>
        <w:color w:val="000000"/>
        <w:sz w:val="20"/>
        <w:szCs w:val="20"/>
      </w:rPr>
    </w:pPr>
  </w:p>
  <w:p w:rsidR="00650BAF" w:rsidRDefault="00650BAF">
    <w:pPr>
      <w:pBdr>
        <w:top w:val="nil"/>
        <w:left w:val="nil"/>
        <w:bottom w:val="nil"/>
        <w:right w:val="nil"/>
        <w:between w:val="nil"/>
      </w:pBdr>
      <w:spacing w:line="14" w:lineRule="auto"/>
      <w:rPr>
        <w:color w:val="000000"/>
        <w:sz w:val="20"/>
        <w:szCs w:val="20"/>
      </w:rPr>
    </w:pPr>
    <w:r>
      <w:rPr>
        <w:noProof/>
        <w:lang w:bidi="ar-SA"/>
      </w:rPr>
      <w:drawing>
        <wp:anchor distT="0" distB="0" distL="114300" distR="114300" simplePos="0" relativeHeight="251659264" behindDoc="0" locked="0" layoutInCell="1" hidden="0" allowOverlap="1" wp14:anchorId="728A60C5" wp14:editId="41AF6A6A">
          <wp:simplePos x="0" y="0"/>
          <wp:positionH relativeFrom="column">
            <wp:posOffset>1482725</wp:posOffset>
          </wp:positionH>
          <wp:positionV relativeFrom="paragraph">
            <wp:posOffset>-321309</wp:posOffset>
          </wp:positionV>
          <wp:extent cx="2914650" cy="915035"/>
          <wp:effectExtent l="0" t="0" r="0" b="0"/>
          <wp:wrapSquare wrapText="bothSides" distT="0" distB="0" distL="114300" distR="114300"/>
          <wp:docPr id="14" name="image1.png" descr="http://www.alfonsoprada.com/web/images/stories/logo%20congreso.png"/>
          <wp:cNvGraphicFramePr/>
          <a:graphic xmlns:a="http://schemas.openxmlformats.org/drawingml/2006/main">
            <a:graphicData uri="http://schemas.openxmlformats.org/drawingml/2006/picture">
              <pic:pic xmlns:pic="http://schemas.openxmlformats.org/drawingml/2006/picture">
                <pic:nvPicPr>
                  <pic:cNvPr id="0" name="image1.png" descr="http://www.alfonsoprada.com/web/images/stories/logo%20congreso.png"/>
                  <pic:cNvPicPr preferRelativeResize="0"/>
                </pic:nvPicPr>
                <pic:blipFill>
                  <a:blip r:embed="rId1"/>
                  <a:srcRect/>
                  <a:stretch>
                    <a:fillRect/>
                  </a:stretch>
                </pic:blipFill>
                <pic:spPr>
                  <a:xfrm>
                    <a:off x="0" y="0"/>
                    <a:ext cx="2914650" cy="915035"/>
                  </a:xfrm>
                  <a:prstGeom prst="rect">
                    <a:avLst/>
                  </a:prstGeom>
                  <a:ln/>
                </pic:spPr>
              </pic:pic>
            </a:graphicData>
          </a:graphic>
        </wp:anchor>
      </w:drawing>
    </w:r>
  </w:p>
  <w:p w:rsidR="00650BAF" w:rsidRDefault="00650BAF">
    <w:pPr>
      <w:pBdr>
        <w:top w:val="nil"/>
        <w:left w:val="nil"/>
        <w:bottom w:val="nil"/>
        <w:right w:val="nil"/>
        <w:between w:val="nil"/>
      </w:pBdr>
      <w:spacing w:line="14" w:lineRule="auto"/>
      <w:rPr>
        <w:color w:val="000000"/>
        <w:sz w:val="20"/>
        <w:szCs w:val="20"/>
      </w:rPr>
    </w:pPr>
  </w:p>
  <w:p w:rsidR="00650BAF" w:rsidRDefault="00650BAF">
    <w:pPr>
      <w:pBdr>
        <w:top w:val="nil"/>
        <w:left w:val="nil"/>
        <w:bottom w:val="nil"/>
        <w:right w:val="nil"/>
        <w:between w:val="nil"/>
      </w:pBdr>
      <w:spacing w:line="14" w:lineRule="auto"/>
      <w:rPr>
        <w:color w:val="000000"/>
        <w:sz w:val="20"/>
        <w:szCs w:val="20"/>
      </w:rPr>
    </w:pPr>
  </w:p>
  <w:p w:rsidR="00650BAF" w:rsidRDefault="00650BAF">
    <w:pPr>
      <w:pBdr>
        <w:top w:val="nil"/>
        <w:left w:val="nil"/>
        <w:bottom w:val="nil"/>
        <w:right w:val="nil"/>
        <w:between w:val="nil"/>
      </w:pBdr>
      <w:spacing w:line="14" w:lineRule="auto"/>
      <w:rPr>
        <w:color w:val="000000"/>
        <w:sz w:val="20"/>
        <w:szCs w:val="20"/>
      </w:rPr>
    </w:pPr>
  </w:p>
  <w:p w:rsidR="00650BAF" w:rsidRDefault="00650BAF">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32BC5"/>
    <w:multiLevelType w:val="multilevel"/>
    <w:tmpl w:val="DDFCB198"/>
    <w:lvl w:ilvl="0">
      <w:start w:val="6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4433092"/>
    <w:multiLevelType w:val="multilevel"/>
    <w:tmpl w:val="2EF4AB1E"/>
    <w:lvl w:ilvl="0">
      <w:start w:val="46"/>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582747A"/>
    <w:multiLevelType w:val="hybridMultilevel"/>
    <w:tmpl w:val="57D03C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AF91B6B"/>
    <w:multiLevelType w:val="multilevel"/>
    <w:tmpl w:val="0952D1F6"/>
    <w:lvl w:ilvl="0">
      <w:start w:val="1"/>
      <w:numFmt w:val="lowerRoman"/>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B0145F4"/>
    <w:multiLevelType w:val="hybridMultilevel"/>
    <w:tmpl w:val="27E030A6"/>
    <w:lvl w:ilvl="0" w:tplc="240A000F">
      <w:start w:val="23"/>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BA73953"/>
    <w:multiLevelType w:val="multilevel"/>
    <w:tmpl w:val="A6660D7E"/>
    <w:lvl w:ilvl="0">
      <w:start w:val="1"/>
      <w:numFmt w:val="low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C4728B3"/>
    <w:multiLevelType w:val="hybridMultilevel"/>
    <w:tmpl w:val="79C6021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DC20F48"/>
    <w:multiLevelType w:val="hybridMultilevel"/>
    <w:tmpl w:val="6F64D364"/>
    <w:lvl w:ilvl="0" w:tplc="60F881E6">
      <w:start w:val="1"/>
      <w:numFmt w:val="lowerLetter"/>
      <w:lvlText w:val="%1."/>
      <w:lvlJc w:val="left"/>
      <w:pPr>
        <w:ind w:left="1494" w:hanging="360"/>
      </w:pPr>
      <w:rPr>
        <w:rFonts w:hint="default"/>
        <w:b/>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8" w15:restartNumberingAfterBreak="0">
    <w:nsid w:val="0FF43E84"/>
    <w:multiLevelType w:val="multilevel"/>
    <w:tmpl w:val="ACD29576"/>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1F6484B"/>
    <w:multiLevelType w:val="hybridMultilevel"/>
    <w:tmpl w:val="3424D6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3572013"/>
    <w:multiLevelType w:val="multilevel"/>
    <w:tmpl w:val="7DCA29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5CB42FB"/>
    <w:multiLevelType w:val="multilevel"/>
    <w:tmpl w:val="A4607196"/>
    <w:lvl w:ilvl="0">
      <w:start w:val="61"/>
      <w:numFmt w:val="decimal"/>
      <w:lvlText w:val="%1."/>
      <w:lvlJc w:val="left"/>
      <w:pPr>
        <w:ind w:left="560" w:hanging="5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2" w15:restartNumberingAfterBreak="0">
    <w:nsid w:val="193E0F21"/>
    <w:multiLevelType w:val="hybridMultilevel"/>
    <w:tmpl w:val="41D02700"/>
    <w:lvl w:ilvl="0" w:tplc="240A000F">
      <w:start w:val="12"/>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BB4117B"/>
    <w:multiLevelType w:val="multilevel"/>
    <w:tmpl w:val="A8CAE8F0"/>
    <w:lvl w:ilvl="0">
      <w:start w:val="74"/>
      <w:numFmt w:val="decimal"/>
      <w:lvlText w:val="%1."/>
      <w:lvlJc w:val="left"/>
      <w:pPr>
        <w:ind w:left="560" w:hanging="5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4" w15:restartNumberingAfterBreak="0">
    <w:nsid w:val="1D336D26"/>
    <w:multiLevelType w:val="multilevel"/>
    <w:tmpl w:val="4FC80804"/>
    <w:lvl w:ilvl="0">
      <w:start w:val="79"/>
      <w:numFmt w:val="decimal"/>
      <w:lvlText w:val="%1."/>
      <w:lvlJc w:val="left"/>
      <w:pPr>
        <w:ind w:left="560" w:hanging="5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5" w15:restartNumberingAfterBreak="0">
    <w:nsid w:val="1E625506"/>
    <w:multiLevelType w:val="hybridMultilevel"/>
    <w:tmpl w:val="B0BED9A8"/>
    <w:lvl w:ilvl="0" w:tplc="8248A5AE">
      <w:start w:val="313"/>
      <w:numFmt w:val="decimal"/>
      <w:lvlText w:val="%1"/>
      <w:lvlJc w:val="left"/>
      <w:pPr>
        <w:ind w:left="765" w:hanging="4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1D47DF1"/>
    <w:multiLevelType w:val="multilevel"/>
    <w:tmpl w:val="B88EC87A"/>
    <w:lvl w:ilvl="0">
      <w:start w:val="74"/>
      <w:numFmt w:val="decimal"/>
      <w:lvlText w:val="%1."/>
      <w:lvlJc w:val="left"/>
      <w:pPr>
        <w:ind w:left="555" w:hanging="55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7022D6F"/>
    <w:multiLevelType w:val="multilevel"/>
    <w:tmpl w:val="5D469F60"/>
    <w:lvl w:ilvl="0">
      <w:start w:val="1"/>
      <w:numFmt w:val="lowerRoman"/>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8" w15:restartNumberingAfterBreak="0">
    <w:nsid w:val="299202AB"/>
    <w:multiLevelType w:val="hybridMultilevel"/>
    <w:tmpl w:val="0BF62B7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2B7B4C50"/>
    <w:multiLevelType w:val="multilevel"/>
    <w:tmpl w:val="A4607196"/>
    <w:lvl w:ilvl="0">
      <w:start w:val="61"/>
      <w:numFmt w:val="decimal"/>
      <w:lvlText w:val="%1."/>
      <w:lvlJc w:val="left"/>
      <w:pPr>
        <w:ind w:left="560" w:hanging="5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0" w15:restartNumberingAfterBreak="0">
    <w:nsid w:val="2E1F1154"/>
    <w:multiLevelType w:val="multilevel"/>
    <w:tmpl w:val="E03CFE36"/>
    <w:lvl w:ilvl="0">
      <w:start w:val="1"/>
      <w:numFmt w:val="decimal"/>
      <w:lvlText w:val="%1."/>
      <w:lvlJc w:val="left"/>
      <w:pPr>
        <w:ind w:left="720" w:hanging="360"/>
      </w:pPr>
      <w:rPr>
        <w:b/>
      </w:rPr>
    </w:lvl>
    <w:lvl w:ilvl="1">
      <w:start w:val="1"/>
      <w:numFmt w:val="decimal"/>
      <w:lvlText w:val="%1.%2"/>
      <w:lvlJc w:val="left"/>
      <w:pPr>
        <w:ind w:left="720" w:hanging="360"/>
      </w:pPr>
      <w:rPr>
        <w:b/>
        <w:sz w:val="24"/>
        <w:szCs w:val="24"/>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21" w15:restartNumberingAfterBreak="0">
    <w:nsid w:val="31665955"/>
    <w:multiLevelType w:val="multilevel"/>
    <w:tmpl w:val="C312FEA4"/>
    <w:lvl w:ilvl="0">
      <w:start w:val="39"/>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1897EFC"/>
    <w:multiLevelType w:val="hybridMultilevel"/>
    <w:tmpl w:val="109CB76E"/>
    <w:lvl w:ilvl="0" w:tplc="ACE0AACE">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32940902"/>
    <w:multiLevelType w:val="multilevel"/>
    <w:tmpl w:val="65BEB34C"/>
    <w:lvl w:ilvl="0">
      <w:start w:val="6"/>
      <w:numFmt w:val="decimal"/>
      <w:lvlText w:val="%1."/>
      <w:lvlJc w:val="left"/>
      <w:pPr>
        <w:ind w:left="420" w:hanging="420"/>
      </w:pPr>
      <w:rPr>
        <w:rFonts w:hint="default"/>
      </w:rPr>
    </w:lvl>
    <w:lvl w:ilvl="1">
      <w:start w:val="1"/>
      <w:numFmt w:val="decimal"/>
      <w:lvlText w:val="%1.%2."/>
      <w:lvlJc w:val="left"/>
      <w:pPr>
        <w:ind w:left="1167" w:hanging="720"/>
      </w:pPr>
      <w:rPr>
        <w:rFonts w:hint="default"/>
      </w:rPr>
    </w:lvl>
    <w:lvl w:ilvl="2">
      <w:start w:val="1"/>
      <w:numFmt w:val="decimal"/>
      <w:lvlText w:val="%1.%2.%3."/>
      <w:lvlJc w:val="left"/>
      <w:pPr>
        <w:ind w:left="1614" w:hanging="720"/>
      </w:pPr>
      <w:rPr>
        <w:rFonts w:hint="default"/>
      </w:rPr>
    </w:lvl>
    <w:lvl w:ilvl="3">
      <w:start w:val="1"/>
      <w:numFmt w:val="decimal"/>
      <w:lvlText w:val="%1.%2.%3.%4."/>
      <w:lvlJc w:val="left"/>
      <w:pPr>
        <w:ind w:left="2421" w:hanging="1080"/>
      </w:pPr>
      <w:rPr>
        <w:rFonts w:hint="default"/>
      </w:rPr>
    </w:lvl>
    <w:lvl w:ilvl="4">
      <w:start w:val="1"/>
      <w:numFmt w:val="decimal"/>
      <w:lvlText w:val="%1.%2.%3.%4.%5."/>
      <w:lvlJc w:val="left"/>
      <w:pPr>
        <w:ind w:left="2868" w:hanging="1080"/>
      </w:pPr>
      <w:rPr>
        <w:rFonts w:hint="default"/>
      </w:rPr>
    </w:lvl>
    <w:lvl w:ilvl="5">
      <w:start w:val="1"/>
      <w:numFmt w:val="decimal"/>
      <w:lvlText w:val="%1.%2.%3.%4.%5.%6."/>
      <w:lvlJc w:val="left"/>
      <w:pPr>
        <w:ind w:left="3675" w:hanging="1440"/>
      </w:pPr>
      <w:rPr>
        <w:rFonts w:hint="default"/>
      </w:rPr>
    </w:lvl>
    <w:lvl w:ilvl="6">
      <w:start w:val="1"/>
      <w:numFmt w:val="decimal"/>
      <w:lvlText w:val="%1.%2.%3.%4.%5.%6.%7."/>
      <w:lvlJc w:val="left"/>
      <w:pPr>
        <w:ind w:left="4122" w:hanging="1440"/>
      </w:pPr>
      <w:rPr>
        <w:rFonts w:hint="default"/>
      </w:rPr>
    </w:lvl>
    <w:lvl w:ilvl="7">
      <w:start w:val="1"/>
      <w:numFmt w:val="decimal"/>
      <w:lvlText w:val="%1.%2.%3.%4.%5.%6.%7.%8."/>
      <w:lvlJc w:val="left"/>
      <w:pPr>
        <w:ind w:left="4929" w:hanging="1800"/>
      </w:pPr>
      <w:rPr>
        <w:rFonts w:hint="default"/>
      </w:rPr>
    </w:lvl>
    <w:lvl w:ilvl="8">
      <w:start w:val="1"/>
      <w:numFmt w:val="decimal"/>
      <w:lvlText w:val="%1.%2.%3.%4.%5.%6.%7.%8.%9."/>
      <w:lvlJc w:val="left"/>
      <w:pPr>
        <w:ind w:left="5736" w:hanging="2160"/>
      </w:pPr>
      <w:rPr>
        <w:rFonts w:hint="default"/>
      </w:rPr>
    </w:lvl>
  </w:abstractNum>
  <w:abstractNum w:abstractNumId="24" w15:restartNumberingAfterBreak="0">
    <w:nsid w:val="33050C8D"/>
    <w:multiLevelType w:val="multilevel"/>
    <w:tmpl w:val="170C87F2"/>
    <w:lvl w:ilvl="0">
      <w:start w:val="1"/>
      <w:numFmt w:val="upperRoman"/>
      <w:lvlText w:val="%1."/>
      <w:lvlJc w:val="right"/>
      <w:pPr>
        <w:ind w:left="1287" w:hanging="360"/>
      </w:pPr>
      <w:rPr>
        <w:sz w:val="24"/>
      </w:r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25" w15:restartNumberingAfterBreak="0">
    <w:nsid w:val="39356169"/>
    <w:multiLevelType w:val="multilevel"/>
    <w:tmpl w:val="8A30EDBE"/>
    <w:lvl w:ilvl="0">
      <w:start w:val="74"/>
      <w:numFmt w:val="decimal"/>
      <w:lvlText w:val="%1."/>
      <w:lvlJc w:val="left"/>
      <w:pPr>
        <w:ind w:left="555" w:hanging="555"/>
      </w:pPr>
      <w:rPr>
        <w:rFonts w:hint="default"/>
      </w:rPr>
    </w:lvl>
    <w:lvl w:ilvl="1">
      <w:start w:val="1"/>
      <w:numFmt w:val="decimal"/>
      <w:lvlText w:val="%2."/>
      <w:lvlJc w:val="left"/>
      <w:pPr>
        <w:ind w:left="720" w:hanging="720"/>
      </w:pPr>
      <w:rPr>
        <w:rFonts w:ascii="Bookman Old Style" w:eastAsia="Bookman Old Style" w:hAnsi="Bookman Old Style" w:cs="Bookman Old Styl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3B6E1919"/>
    <w:multiLevelType w:val="multilevel"/>
    <w:tmpl w:val="EDF68FF0"/>
    <w:lvl w:ilvl="0">
      <w:start w:val="78"/>
      <w:numFmt w:val="decimal"/>
      <w:lvlText w:val="%1."/>
      <w:lvlJc w:val="left"/>
      <w:pPr>
        <w:ind w:left="560" w:hanging="5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7" w15:restartNumberingAfterBreak="0">
    <w:nsid w:val="4C617824"/>
    <w:multiLevelType w:val="multilevel"/>
    <w:tmpl w:val="7E8E95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F9C6C31"/>
    <w:multiLevelType w:val="multilevel"/>
    <w:tmpl w:val="B28C532A"/>
    <w:lvl w:ilvl="0">
      <w:start w:val="6"/>
      <w:numFmt w:val="decimal"/>
      <w:lvlText w:val="%1."/>
      <w:lvlJc w:val="left"/>
      <w:pPr>
        <w:ind w:left="420" w:hanging="4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9" w15:restartNumberingAfterBreak="0">
    <w:nsid w:val="503A0E92"/>
    <w:multiLevelType w:val="multilevel"/>
    <w:tmpl w:val="62ACF4C0"/>
    <w:lvl w:ilvl="0">
      <w:start w:val="6"/>
      <w:numFmt w:val="decimal"/>
      <w:lvlText w:val="%1."/>
      <w:lvlJc w:val="left"/>
      <w:pPr>
        <w:ind w:left="450" w:hanging="450"/>
      </w:pPr>
      <w:rPr>
        <w:rFonts w:hint="default"/>
      </w:rPr>
    </w:lvl>
    <w:lvl w:ilvl="1">
      <w:start w:val="1"/>
      <w:numFmt w:val="decimal"/>
      <w:lvlText w:val="%1.%2."/>
      <w:lvlJc w:val="left"/>
      <w:pPr>
        <w:ind w:left="1167" w:hanging="720"/>
      </w:pPr>
      <w:rPr>
        <w:rFonts w:hint="default"/>
      </w:rPr>
    </w:lvl>
    <w:lvl w:ilvl="2">
      <w:start w:val="1"/>
      <w:numFmt w:val="decimal"/>
      <w:lvlText w:val="%1.%2.%3."/>
      <w:lvlJc w:val="left"/>
      <w:pPr>
        <w:ind w:left="1614" w:hanging="720"/>
      </w:pPr>
      <w:rPr>
        <w:rFonts w:hint="default"/>
      </w:rPr>
    </w:lvl>
    <w:lvl w:ilvl="3">
      <w:start w:val="1"/>
      <w:numFmt w:val="decimal"/>
      <w:lvlText w:val="%1.%2.%3.%4."/>
      <w:lvlJc w:val="left"/>
      <w:pPr>
        <w:ind w:left="2421" w:hanging="1080"/>
      </w:pPr>
      <w:rPr>
        <w:rFonts w:hint="default"/>
      </w:rPr>
    </w:lvl>
    <w:lvl w:ilvl="4">
      <w:start w:val="1"/>
      <w:numFmt w:val="decimal"/>
      <w:lvlText w:val="%1.%2.%3.%4.%5."/>
      <w:lvlJc w:val="left"/>
      <w:pPr>
        <w:ind w:left="3228" w:hanging="1440"/>
      </w:pPr>
      <w:rPr>
        <w:rFonts w:hint="default"/>
      </w:rPr>
    </w:lvl>
    <w:lvl w:ilvl="5">
      <w:start w:val="1"/>
      <w:numFmt w:val="decimal"/>
      <w:lvlText w:val="%1.%2.%3.%4.%5.%6."/>
      <w:lvlJc w:val="left"/>
      <w:pPr>
        <w:ind w:left="3675" w:hanging="1440"/>
      </w:pPr>
      <w:rPr>
        <w:rFonts w:hint="default"/>
      </w:rPr>
    </w:lvl>
    <w:lvl w:ilvl="6">
      <w:start w:val="1"/>
      <w:numFmt w:val="decimal"/>
      <w:lvlText w:val="%1.%2.%3.%4.%5.%6.%7."/>
      <w:lvlJc w:val="left"/>
      <w:pPr>
        <w:ind w:left="4482" w:hanging="1800"/>
      </w:pPr>
      <w:rPr>
        <w:rFonts w:hint="default"/>
      </w:rPr>
    </w:lvl>
    <w:lvl w:ilvl="7">
      <w:start w:val="1"/>
      <w:numFmt w:val="decimal"/>
      <w:lvlText w:val="%1.%2.%3.%4.%5.%6.%7.%8."/>
      <w:lvlJc w:val="left"/>
      <w:pPr>
        <w:ind w:left="4929" w:hanging="1800"/>
      </w:pPr>
      <w:rPr>
        <w:rFonts w:hint="default"/>
      </w:rPr>
    </w:lvl>
    <w:lvl w:ilvl="8">
      <w:start w:val="1"/>
      <w:numFmt w:val="decimal"/>
      <w:lvlText w:val="%1.%2.%3.%4.%5.%6.%7.%8.%9."/>
      <w:lvlJc w:val="left"/>
      <w:pPr>
        <w:ind w:left="5736" w:hanging="2160"/>
      </w:pPr>
      <w:rPr>
        <w:rFonts w:hint="default"/>
      </w:rPr>
    </w:lvl>
  </w:abstractNum>
  <w:abstractNum w:abstractNumId="30" w15:restartNumberingAfterBreak="0">
    <w:nsid w:val="50AC17BD"/>
    <w:multiLevelType w:val="hybridMultilevel"/>
    <w:tmpl w:val="14988100"/>
    <w:lvl w:ilvl="0" w:tplc="240A000F">
      <w:start w:val="20"/>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0BA434B"/>
    <w:multiLevelType w:val="multilevel"/>
    <w:tmpl w:val="A192E9C2"/>
    <w:lvl w:ilvl="0">
      <w:start w:val="32"/>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2" w15:restartNumberingAfterBreak="0">
    <w:nsid w:val="53116723"/>
    <w:multiLevelType w:val="multilevel"/>
    <w:tmpl w:val="5AB2E818"/>
    <w:lvl w:ilvl="0">
      <w:start w:val="1"/>
      <w:numFmt w:val="decimal"/>
      <w:lvlText w:val="%1."/>
      <w:lvlJc w:val="left"/>
      <w:pPr>
        <w:ind w:left="420" w:hanging="420"/>
      </w:pPr>
    </w:lvl>
    <w:lvl w:ilvl="1">
      <w:start w:val="1"/>
      <w:numFmt w:val="decimal"/>
      <w:lvlText w:val="%1.%2."/>
      <w:lvlJc w:val="left"/>
      <w:pPr>
        <w:ind w:left="720" w:hanging="720"/>
      </w:pPr>
      <w:rPr>
        <w:strike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3" w15:restartNumberingAfterBreak="0">
    <w:nsid w:val="54981970"/>
    <w:multiLevelType w:val="multilevel"/>
    <w:tmpl w:val="22603248"/>
    <w:lvl w:ilvl="0">
      <w:start w:val="74"/>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550375E"/>
    <w:multiLevelType w:val="hybridMultilevel"/>
    <w:tmpl w:val="6D84E03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5602633C"/>
    <w:multiLevelType w:val="hybridMultilevel"/>
    <w:tmpl w:val="280A885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57BC1D23"/>
    <w:multiLevelType w:val="multilevel"/>
    <w:tmpl w:val="D88285E0"/>
    <w:lvl w:ilvl="0">
      <w:start w:val="46"/>
      <w:numFmt w:val="decimal"/>
      <w:lvlText w:val="%1."/>
      <w:lvlJc w:val="left"/>
      <w:pPr>
        <w:ind w:left="560" w:hanging="5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7" w15:restartNumberingAfterBreak="0">
    <w:nsid w:val="59AD172E"/>
    <w:multiLevelType w:val="multilevel"/>
    <w:tmpl w:val="E29E66DA"/>
    <w:lvl w:ilvl="0">
      <w:start w:val="39"/>
      <w:numFmt w:val="decimal"/>
      <w:lvlText w:val="%1."/>
      <w:lvlJc w:val="left"/>
      <w:pPr>
        <w:ind w:left="560" w:hanging="5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8" w15:restartNumberingAfterBreak="0">
    <w:nsid w:val="5F2B40A1"/>
    <w:multiLevelType w:val="multilevel"/>
    <w:tmpl w:val="134A6492"/>
    <w:lvl w:ilvl="0">
      <w:start w:val="4"/>
      <w:numFmt w:val="decimal"/>
      <w:lvlText w:val="%1."/>
      <w:lvlJc w:val="left"/>
      <w:pPr>
        <w:ind w:left="420" w:hanging="420"/>
      </w:pPr>
      <w:rPr>
        <w:rFonts w:hint="default"/>
      </w:rPr>
    </w:lvl>
    <w:lvl w:ilvl="1">
      <w:start w:val="5"/>
      <w:numFmt w:val="decimal"/>
      <w:lvlText w:val="%1.%2."/>
      <w:lvlJc w:val="left"/>
      <w:pPr>
        <w:ind w:left="720" w:hanging="72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63586CFD"/>
    <w:multiLevelType w:val="hybridMultilevel"/>
    <w:tmpl w:val="1CFC314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636F5963"/>
    <w:multiLevelType w:val="multilevel"/>
    <w:tmpl w:val="FF1EE56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63F623FD"/>
    <w:multiLevelType w:val="multilevel"/>
    <w:tmpl w:val="CB64413A"/>
    <w:lvl w:ilvl="0">
      <w:start w:val="78"/>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64DA5C02"/>
    <w:multiLevelType w:val="multilevel"/>
    <w:tmpl w:val="276A853A"/>
    <w:lvl w:ilvl="0">
      <w:start w:val="32"/>
      <w:numFmt w:val="decimal"/>
      <w:lvlText w:val="%1."/>
      <w:lvlJc w:val="left"/>
      <w:pPr>
        <w:ind w:left="560" w:hanging="56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43" w15:restartNumberingAfterBreak="0">
    <w:nsid w:val="655A6AD6"/>
    <w:multiLevelType w:val="multilevel"/>
    <w:tmpl w:val="CD26E4A0"/>
    <w:lvl w:ilvl="0">
      <w:start w:val="7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5B93031"/>
    <w:multiLevelType w:val="multilevel"/>
    <w:tmpl w:val="27B4AD9E"/>
    <w:lvl w:ilvl="0">
      <w:start w:val="62"/>
      <w:numFmt w:val="decimal"/>
      <w:lvlText w:val="%1."/>
      <w:lvlJc w:val="left"/>
      <w:pPr>
        <w:ind w:left="560" w:hanging="5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5" w15:restartNumberingAfterBreak="0">
    <w:nsid w:val="671B5670"/>
    <w:multiLevelType w:val="multilevel"/>
    <w:tmpl w:val="7D62AD8C"/>
    <w:lvl w:ilvl="0">
      <w:start w:val="79"/>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68F07BDA"/>
    <w:multiLevelType w:val="multilevel"/>
    <w:tmpl w:val="482C17E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E6F2BB3"/>
    <w:multiLevelType w:val="multilevel"/>
    <w:tmpl w:val="5AB2E818"/>
    <w:lvl w:ilvl="0">
      <w:start w:val="1"/>
      <w:numFmt w:val="decimal"/>
      <w:lvlText w:val="%1."/>
      <w:lvlJc w:val="left"/>
      <w:pPr>
        <w:ind w:left="420" w:hanging="420"/>
      </w:pPr>
    </w:lvl>
    <w:lvl w:ilvl="1">
      <w:start w:val="1"/>
      <w:numFmt w:val="decimal"/>
      <w:lvlText w:val="%1.%2."/>
      <w:lvlJc w:val="left"/>
      <w:pPr>
        <w:ind w:left="720" w:hanging="720"/>
      </w:pPr>
      <w:rPr>
        <w:strike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8" w15:restartNumberingAfterBreak="0">
    <w:nsid w:val="7F897C2B"/>
    <w:multiLevelType w:val="multilevel"/>
    <w:tmpl w:val="9334BF5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3"/>
  </w:num>
  <w:num w:numId="3">
    <w:abstractNumId w:val="24"/>
  </w:num>
  <w:num w:numId="4">
    <w:abstractNumId w:val="40"/>
  </w:num>
  <w:num w:numId="5">
    <w:abstractNumId w:val="10"/>
  </w:num>
  <w:num w:numId="6">
    <w:abstractNumId w:val="22"/>
  </w:num>
  <w:num w:numId="7">
    <w:abstractNumId w:val="7"/>
  </w:num>
  <w:num w:numId="8">
    <w:abstractNumId w:val="18"/>
  </w:num>
  <w:num w:numId="9">
    <w:abstractNumId w:val="17"/>
  </w:num>
  <w:num w:numId="10">
    <w:abstractNumId w:val="9"/>
  </w:num>
  <w:num w:numId="11">
    <w:abstractNumId w:val="47"/>
  </w:num>
  <w:num w:numId="12">
    <w:abstractNumId w:val="28"/>
  </w:num>
  <w:num w:numId="13">
    <w:abstractNumId w:val="42"/>
  </w:num>
  <w:num w:numId="14">
    <w:abstractNumId w:val="46"/>
  </w:num>
  <w:num w:numId="15">
    <w:abstractNumId w:val="48"/>
  </w:num>
  <w:num w:numId="16">
    <w:abstractNumId w:val="37"/>
  </w:num>
  <w:num w:numId="17">
    <w:abstractNumId w:val="36"/>
  </w:num>
  <w:num w:numId="18">
    <w:abstractNumId w:val="19"/>
  </w:num>
  <w:num w:numId="19">
    <w:abstractNumId w:val="44"/>
  </w:num>
  <w:num w:numId="20">
    <w:abstractNumId w:val="13"/>
  </w:num>
  <w:num w:numId="21">
    <w:abstractNumId w:val="27"/>
  </w:num>
  <w:num w:numId="22">
    <w:abstractNumId w:val="26"/>
  </w:num>
  <w:num w:numId="23">
    <w:abstractNumId w:val="14"/>
  </w:num>
  <w:num w:numId="24">
    <w:abstractNumId w:val="23"/>
  </w:num>
  <w:num w:numId="25">
    <w:abstractNumId w:val="21"/>
  </w:num>
  <w:num w:numId="26">
    <w:abstractNumId w:val="39"/>
  </w:num>
  <w:num w:numId="27">
    <w:abstractNumId w:val="43"/>
  </w:num>
  <w:num w:numId="28">
    <w:abstractNumId w:val="16"/>
  </w:num>
  <w:num w:numId="29">
    <w:abstractNumId w:val="25"/>
  </w:num>
  <w:num w:numId="30">
    <w:abstractNumId w:val="32"/>
  </w:num>
  <w:num w:numId="31">
    <w:abstractNumId w:val="11"/>
  </w:num>
  <w:num w:numId="32">
    <w:abstractNumId w:val="45"/>
  </w:num>
  <w:num w:numId="33">
    <w:abstractNumId w:val="41"/>
  </w:num>
  <w:num w:numId="34">
    <w:abstractNumId w:val="33"/>
  </w:num>
  <w:num w:numId="35">
    <w:abstractNumId w:val="8"/>
  </w:num>
  <w:num w:numId="36">
    <w:abstractNumId w:val="38"/>
  </w:num>
  <w:num w:numId="37">
    <w:abstractNumId w:val="30"/>
  </w:num>
  <w:num w:numId="38">
    <w:abstractNumId w:val="15"/>
  </w:num>
  <w:num w:numId="39">
    <w:abstractNumId w:val="12"/>
  </w:num>
  <w:num w:numId="40">
    <w:abstractNumId w:val="4"/>
  </w:num>
  <w:num w:numId="41">
    <w:abstractNumId w:val="34"/>
  </w:num>
  <w:num w:numId="42">
    <w:abstractNumId w:val="35"/>
  </w:num>
  <w:num w:numId="43">
    <w:abstractNumId w:val="31"/>
  </w:num>
  <w:num w:numId="44">
    <w:abstractNumId w:val="29"/>
  </w:num>
  <w:num w:numId="45">
    <w:abstractNumId w:val="1"/>
  </w:num>
  <w:num w:numId="46">
    <w:abstractNumId w:val="0"/>
  </w:num>
  <w:num w:numId="47">
    <w:abstractNumId w:val="6"/>
  </w:num>
  <w:num w:numId="48">
    <w:abstractNumId w:val="2"/>
  </w:num>
  <w:num w:numId="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3D9"/>
    <w:rsid w:val="00065473"/>
    <w:rsid w:val="002018DC"/>
    <w:rsid w:val="00396548"/>
    <w:rsid w:val="003B03D9"/>
    <w:rsid w:val="005D43C5"/>
    <w:rsid w:val="005D4760"/>
    <w:rsid w:val="00650BAF"/>
    <w:rsid w:val="006A571E"/>
    <w:rsid w:val="00711804"/>
    <w:rsid w:val="008071C1"/>
    <w:rsid w:val="00895D79"/>
    <w:rsid w:val="009A4183"/>
    <w:rsid w:val="009B6EA0"/>
    <w:rsid w:val="00AF207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D2A1C"/>
  <w15:chartTrackingRefBased/>
  <w15:docId w15:val="{00B29742-06D3-47D4-BEEC-A7871C029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B03D9"/>
    <w:pPr>
      <w:widowControl w:val="0"/>
      <w:autoSpaceDE w:val="0"/>
      <w:autoSpaceDN w:val="0"/>
      <w:spacing w:after="0" w:line="240" w:lineRule="auto"/>
    </w:pPr>
    <w:rPr>
      <w:rFonts w:ascii="Times New Roman" w:eastAsia="Times New Roman" w:hAnsi="Times New Roman" w:cs="Times New Roman"/>
      <w:lang w:eastAsia="es-CO" w:bidi="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3B03D9"/>
    <w:pPr>
      <w:tabs>
        <w:tab w:val="center" w:pos="4419"/>
        <w:tab w:val="right" w:pos="8838"/>
      </w:tabs>
    </w:pPr>
  </w:style>
  <w:style w:type="character" w:customStyle="1" w:styleId="PiedepginaCar">
    <w:name w:val="Pie de página Car"/>
    <w:basedOn w:val="Fuentedeprrafopredeter"/>
    <w:link w:val="Piedepgina"/>
    <w:uiPriority w:val="99"/>
    <w:rsid w:val="003B03D9"/>
    <w:rPr>
      <w:rFonts w:ascii="Times New Roman" w:eastAsia="Times New Roman" w:hAnsi="Times New Roman" w:cs="Times New Roman"/>
      <w:lang w:eastAsia="es-CO" w:bidi="es-CO"/>
    </w:rPr>
  </w:style>
  <w:style w:type="paragraph" w:styleId="Prrafodelista">
    <w:name w:val="List Paragraph"/>
    <w:basedOn w:val="Normal"/>
    <w:uiPriority w:val="34"/>
    <w:qFormat/>
    <w:rsid w:val="003B03D9"/>
    <w:pPr>
      <w:ind w:left="720"/>
      <w:contextualSpacing/>
    </w:pPr>
  </w:style>
  <w:style w:type="paragraph" w:styleId="Sinespaciado">
    <w:name w:val="No Spacing"/>
    <w:uiPriority w:val="1"/>
    <w:qFormat/>
    <w:rsid w:val="003B03D9"/>
    <w:pPr>
      <w:widowControl w:val="0"/>
      <w:autoSpaceDE w:val="0"/>
      <w:autoSpaceDN w:val="0"/>
      <w:spacing w:after="0" w:line="240" w:lineRule="auto"/>
    </w:pPr>
    <w:rPr>
      <w:rFonts w:ascii="Times New Roman" w:eastAsia="Times New Roman" w:hAnsi="Times New Roman" w:cs="Times New Roman"/>
      <w:lang w:eastAsia="es-CO" w:bidi="es-CO"/>
    </w:rPr>
  </w:style>
  <w:style w:type="paragraph" w:styleId="Encabezado">
    <w:name w:val="header"/>
    <w:basedOn w:val="Normal"/>
    <w:link w:val="EncabezadoCar"/>
    <w:uiPriority w:val="99"/>
    <w:unhideWhenUsed/>
    <w:rsid w:val="003B03D9"/>
    <w:pPr>
      <w:tabs>
        <w:tab w:val="center" w:pos="4419"/>
        <w:tab w:val="right" w:pos="8838"/>
      </w:tabs>
    </w:pPr>
  </w:style>
  <w:style w:type="character" w:customStyle="1" w:styleId="EncabezadoCar">
    <w:name w:val="Encabezado Car"/>
    <w:basedOn w:val="Fuentedeprrafopredeter"/>
    <w:link w:val="Encabezado"/>
    <w:uiPriority w:val="99"/>
    <w:rsid w:val="003B03D9"/>
    <w:rPr>
      <w:rFonts w:ascii="Times New Roman" w:eastAsia="Times New Roman" w:hAnsi="Times New Roman" w:cs="Times New Roman"/>
      <w:lang w:eastAsia="es-CO" w:bidi="es-CO"/>
    </w:rPr>
  </w:style>
  <w:style w:type="table" w:styleId="Tablaconcuadrcula">
    <w:name w:val="Table Grid"/>
    <w:basedOn w:val="Tablanormal"/>
    <w:uiPriority w:val="39"/>
    <w:rsid w:val="003B0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B03D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03D9"/>
    <w:rPr>
      <w:rFonts w:ascii="Segoe UI" w:eastAsia="Times New Roman" w:hAnsi="Segoe UI" w:cs="Segoe UI"/>
      <w:sz w:val="18"/>
      <w:szCs w:val="18"/>
      <w:lang w:eastAsia="es-CO" w:bidi="es-CO"/>
    </w:rPr>
  </w:style>
  <w:style w:type="paragraph" w:styleId="Textonotapie">
    <w:name w:val="footnote text"/>
    <w:basedOn w:val="Normal"/>
    <w:link w:val="TextonotapieCar"/>
    <w:uiPriority w:val="99"/>
    <w:semiHidden/>
    <w:rsid w:val="00650BAF"/>
    <w:pPr>
      <w:overflowPunct w:val="0"/>
      <w:adjustRightInd w:val="0"/>
      <w:jc w:val="both"/>
      <w:textAlignment w:val="baseline"/>
    </w:pPr>
    <w:rPr>
      <w:sz w:val="20"/>
      <w:szCs w:val="20"/>
      <w:lang w:val="es-ES_tradnl" w:eastAsia="es-ES" w:bidi="ar-SA"/>
    </w:rPr>
  </w:style>
  <w:style w:type="character" w:customStyle="1" w:styleId="TextonotapieCar">
    <w:name w:val="Texto nota pie Car"/>
    <w:basedOn w:val="Fuentedeprrafopredeter"/>
    <w:link w:val="Textonotapie"/>
    <w:uiPriority w:val="99"/>
    <w:semiHidden/>
    <w:rsid w:val="00650BAF"/>
    <w:rPr>
      <w:rFonts w:ascii="Times New Roman" w:eastAsia="Times New Roman" w:hAnsi="Times New Roman" w:cs="Times New Roman"/>
      <w:sz w:val="20"/>
      <w:szCs w:val="20"/>
      <w:lang w:val="es-ES_tradnl" w:eastAsia="es-ES"/>
    </w:rPr>
  </w:style>
  <w:style w:type="character" w:styleId="Refdenotaalpie">
    <w:name w:val="footnote reference"/>
    <w:basedOn w:val="Fuentedeprrafopredeter"/>
    <w:uiPriority w:val="99"/>
    <w:semiHidden/>
    <w:rsid w:val="00650BAF"/>
    <w:rPr>
      <w:rFonts w:cs="Times New Roman"/>
      <w:vertAlign w:val="superscript"/>
    </w:rPr>
  </w:style>
  <w:style w:type="paragraph" w:customStyle="1" w:styleId="Default">
    <w:name w:val="Default"/>
    <w:rsid w:val="00650BAF"/>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5D43C5"/>
    <w:pPr>
      <w:widowControl/>
      <w:autoSpaceDE/>
      <w:autoSpaceDN/>
      <w:spacing w:before="100" w:beforeAutospacing="1" w:after="100" w:afterAutospacing="1"/>
    </w:pPr>
    <w:rPr>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secretariasenado.gov.co/senado/basedoc/ley_1098_2006.htm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camara.gov.co/representantes/jose-octavio-cardona-leon" TargetMode="External"/><Relationship Id="rId12" Type="http://schemas.openxmlformats.org/officeDocument/2006/relationships/image" Target="media/image5.png"/><Relationship Id="rId17" Type="http://schemas.openxmlformats.org/officeDocument/2006/relationships/hyperlink" Target="http://www.secretariasenado.gov.co/senado/basedoc/ley_0005_1992_pr004.html" TargetMode="External"/><Relationship Id="rId2" Type="http://schemas.openxmlformats.org/officeDocument/2006/relationships/styles" Target="styles.xml"/><Relationship Id="rId16" Type="http://schemas.openxmlformats.org/officeDocument/2006/relationships/hyperlink" Target="http://www.secretariasenado.gov.co/senado/basedoc/ley_0005_1992_pr007.html"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www.secretariasenado.gov.co/senado/basedoc/ley_1098_2006.html"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secretariasenado.gov.co/senado/basedoc/ley_1098_2006.html"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411</TotalTime>
  <Pages>28</Pages>
  <Words>8430</Words>
  <Characters>46370</Characters>
  <Application>Microsoft Office Word</Application>
  <DocSecurity>0</DocSecurity>
  <Lines>386</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Jhonatan Atencia</dc:creator>
  <cp:keywords/>
  <dc:description/>
  <cp:lastModifiedBy>Luis Antonio Furnieles Monterroza</cp:lastModifiedBy>
  <cp:revision>7</cp:revision>
  <cp:lastPrinted>2024-03-12T19:14:00Z</cp:lastPrinted>
  <dcterms:created xsi:type="dcterms:W3CDTF">2024-03-04T15:11:00Z</dcterms:created>
  <dcterms:modified xsi:type="dcterms:W3CDTF">2024-03-12T19:14:00Z</dcterms:modified>
</cp:coreProperties>
</file>